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03" w:type="dxa"/>
        <w:jc w:val="center"/>
        <w:tblBorders>
          <w:top w:val="nil"/>
          <w:left w:val="nil"/>
          <w:bottom w:val="nil"/>
          <w:right w:val="nil"/>
          <w:insideH w:val="nil"/>
          <w:insideV w:val="nil"/>
        </w:tblBorders>
        <w:tblLayout w:type="fixed"/>
        <w:tblLook w:val="04A0" w:firstRow="1" w:lastRow="0" w:firstColumn="1" w:lastColumn="0" w:noHBand="0" w:noVBand="1"/>
      </w:tblPr>
      <w:tblGrid>
        <w:gridCol w:w="7416"/>
        <w:gridCol w:w="7087"/>
      </w:tblGrid>
      <w:tr w:rsidR="009D255E" w:rsidRPr="00813295" w:rsidTr="00E57C62">
        <w:trPr>
          <w:jc w:val="center"/>
        </w:trPr>
        <w:tc>
          <w:tcPr>
            <w:tcW w:w="7416" w:type="dxa"/>
            <w:tcMar>
              <w:top w:w="0" w:type="dxa"/>
              <w:left w:w="0" w:type="dxa"/>
              <w:bottom w:w="0" w:type="dxa"/>
              <w:right w:w="0" w:type="dxa"/>
            </w:tcMar>
          </w:tcPr>
          <w:p w:rsidR="009D255E" w:rsidRPr="00813295" w:rsidRDefault="00395F73">
            <w:pPr>
              <w:spacing w:after="0" w:line="240" w:lineRule="auto"/>
              <w:jc w:val="center"/>
            </w:pPr>
            <w:bookmarkStart w:id="0" w:name="_GoBack"/>
            <w:r w:rsidRPr="00813295">
              <w:rPr>
                <w:sz w:val="26"/>
              </w:rPr>
              <w:t>ỦY BAN NHÂN DÂN</w:t>
            </w:r>
          </w:p>
          <w:p w:rsidR="009D255E" w:rsidRPr="00813295" w:rsidRDefault="00395F73">
            <w:pPr>
              <w:spacing w:after="0" w:line="240" w:lineRule="auto"/>
              <w:jc w:val="center"/>
            </w:pPr>
            <w:r w:rsidRPr="00813295">
              <w:rPr>
                <w:sz w:val="26"/>
              </w:rPr>
              <w:t>THÀNH PHỐ HỒ CHÍ MINH</w:t>
            </w:r>
          </w:p>
          <w:p w:rsidR="009D255E" w:rsidRPr="00813295" w:rsidRDefault="00F2411A">
            <w:pPr>
              <w:spacing w:after="0" w:line="240" w:lineRule="auto"/>
              <w:jc w:val="center"/>
            </w:pPr>
            <w:r w:rsidRPr="00813295">
              <w:rPr>
                <w:b/>
                <w:noProof/>
                <w:sz w:val="26"/>
              </w:rPr>
              <mc:AlternateContent>
                <mc:Choice Requires="wps">
                  <w:drawing>
                    <wp:anchor distT="0" distB="0" distL="114300" distR="114300" simplePos="0" relativeHeight="251657216" behindDoc="0" locked="1" layoutInCell="1" allowOverlap="1">
                      <wp:simplePos x="0" y="0"/>
                      <wp:positionH relativeFrom="column">
                        <wp:align>center</wp:align>
                      </wp:positionH>
                      <wp:positionV relativeFrom="paragraph">
                        <wp:posOffset>246380</wp:posOffset>
                      </wp:positionV>
                      <wp:extent cx="1112400" cy="0"/>
                      <wp:effectExtent l="0" t="0" r="31115" b="19050"/>
                      <wp:wrapNone/>
                      <wp:docPr id="1" name="Straight Connector 1"/>
                      <wp:cNvGraphicFramePr/>
                      <a:graphic xmlns:a="http://schemas.openxmlformats.org/drawingml/2006/main">
                        <a:graphicData uri="http://schemas.microsoft.com/office/word/2010/wordprocessingShape">
                          <wps:wsp>
                            <wps:cNvCnPr/>
                            <wps:spPr>
                              <a:xfrm>
                                <a:off x="0" y="0"/>
                                <a:ext cx="11124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3C981040" id="Straight Connector 1" o:spid="_x0000_s1026" style="position:absolute;z-index:251657216;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19.4pt" to="87.6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gHTzQEAAAMEAAAOAAAAZHJzL2Uyb0RvYy54bWysU02PEzEMvSPxH6Lc6cxUaIVGne6hq+WC&#10;oGLhB2QzTidSEkdO6Me/x0nb6QpWQiAunnHiZ/s9O6v7o3diD5QshkF2i1YKCBpHG3aD/P7t8d0H&#10;KVJWYVQOAwzyBEner9++WR1iD0uc0I1AgpOE1B/iIKecY980SU/gVVpghMCXBsmrzC7tmpHUgbN7&#10;1yzb9q45II2RUENKfPpwvpTrmt8Y0PmLMQmycIPk3nK1VO1zsc16pfodqThZfWlD/UMXXtnARedU&#10;Dyor8YPsb6m81YQJTV5o9A0aYzVUDsyma39h8zSpCJULi5PiLFP6f2n15/2WhB15dlIE5XlET5mU&#10;3U1ZbDAEFhBJdEWnQ0w9h2/Cli5eilsqpI+GfPkyHXGs2p5mbeGYhebDruuW71segb7eNTdgpJQ/&#10;AnpRfgbpbCi0Va/2n1LmYhx6DSnHLhSb0Nnx0TpXnbIwsHEk9opHnY+1Zca9iGKvIJtC5Nx6/csn&#10;B+esX8GwFKXZWr0u4S2n0hpCvitS1EwcXWCGO5iB7Z+Bl/gChbqgfwOeEbUyhjyDvQ1Ir1W/SWHO&#10;8VcFzryLBM84nupQqzS8aZXh5VWUVX7pV/jt7a5/AgAA//8DAFBLAwQUAAYACAAAACEAW4Cg3dsA&#10;AAAGAQAADwAAAGRycy9kb3ducmV2LnhtbEyPwU7DMBBE70j8g7VI3KhDgRKlcSqE4IK4JPQANzfe&#10;xlHjdRo7Tfh7tuIAx50ZzbzNN7PrxAmH0HpScLtIQCDV3rTUKNh+vN6kIELUZHTnCRV8Y4BNcXmR&#10;68z4iUo8VbERXEIh0wpsjH0mZagtOh0Wvkdib+8HpyOfQyPNoCcud51cJslKOt0SL1jd47PF+lCN&#10;TsHb8T1s71flS/l5TKvpaz/axqNS11fz0xpExDn+heGMz+hQMNPOj2SC6BTwI1HBXcr8Z/fxYQli&#10;9yvIIpf/8YsfAAAA//8DAFBLAQItABQABgAIAAAAIQC2gziS/gAAAOEBAAATAAAAAAAAAAAAAAAA&#10;AAAAAABbQ29udGVudF9UeXBlc10ueG1sUEsBAi0AFAAGAAgAAAAhADj9If/WAAAAlAEAAAsAAAAA&#10;AAAAAAAAAAAALwEAAF9yZWxzLy5yZWxzUEsBAi0AFAAGAAgAAAAhAKiaAdPNAQAAAwQAAA4AAAAA&#10;AAAAAAAAAAAALgIAAGRycy9lMm9Eb2MueG1sUEsBAi0AFAAGAAgAAAAhAFuAoN3bAAAABgEAAA8A&#10;AAAAAAAAAAAAAAAAJwQAAGRycy9kb3ducmV2LnhtbFBLBQYAAAAABAAEAPMAAAAvBQAAAAA=&#10;" strokecolor="black [3213]">
                      <w10:anchorlock/>
                    </v:line>
                  </w:pict>
                </mc:Fallback>
              </mc:AlternateContent>
            </w:r>
            <w:r w:rsidR="00395F73" w:rsidRPr="00813295">
              <w:rPr>
                <w:b/>
                <w:sz w:val="26"/>
              </w:rPr>
              <w:t>SỞ KHOA HỌC VÀ CÔNG NGHỆ</w:t>
            </w:r>
          </w:p>
        </w:tc>
        <w:tc>
          <w:tcPr>
            <w:tcW w:w="7087" w:type="dxa"/>
            <w:tcMar>
              <w:top w:w="0" w:type="dxa"/>
              <w:left w:w="0" w:type="dxa"/>
              <w:bottom w:w="0" w:type="dxa"/>
              <w:right w:w="0" w:type="dxa"/>
            </w:tcMar>
          </w:tcPr>
          <w:p w:rsidR="009D255E" w:rsidRPr="00813295" w:rsidRDefault="00395F73">
            <w:pPr>
              <w:spacing w:after="0" w:line="240" w:lineRule="auto"/>
              <w:jc w:val="center"/>
            </w:pPr>
            <w:r w:rsidRPr="00813295">
              <w:rPr>
                <w:b/>
                <w:sz w:val="26"/>
              </w:rPr>
              <w:t>CỘNG HÒA XÃ HỘI CHỦ NGHĨA VIỆT NAM</w:t>
            </w:r>
          </w:p>
          <w:p w:rsidR="009D255E" w:rsidRPr="00813295" w:rsidRDefault="00395F73">
            <w:pPr>
              <w:spacing w:after="0" w:line="240" w:lineRule="auto"/>
              <w:jc w:val="center"/>
              <w:rPr>
                <w:sz w:val="28"/>
                <w:szCs w:val="28"/>
              </w:rPr>
            </w:pPr>
            <w:r w:rsidRPr="00813295">
              <w:rPr>
                <w:b/>
                <w:sz w:val="28"/>
                <w:szCs w:val="28"/>
              </w:rPr>
              <w:t>Độc lập - Tự do - Hạnh phúc</w:t>
            </w:r>
          </w:p>
          <w:p w:rsidR="009D255E" w:rsidRPr="00813295" w:rsidRDefault="00F2411A">
            <w:pPr>
              <w:spacing w:after="0" w:line="240" w:lineRule="auto"/>
              <w:jc w:val="center"/>
            </w:pPr>
            <w:r w:rsidRPr="00813295">
              <w:rPr>
                <w:noProof/>
              </w:rPr>
              <mc:AlternateContent>
                <mc:Choice Requires="wps">
                  <w:drawing>
                    <wp:anchor distT="0" distB="0" distL="114300" distR="114300" simplePos="0" relativeHeight="251661312" behindDoc="0" locked="1" layoutInCell="1" allowOverlap="1">
                      <wp:simplePos x="0" y="0"/>
                      <wp:positionH relativeFrom="column">
                        <wp:align>center</wp:align>
                      </wp:positionH>
                      <wp:positionV relativeFrom="paragraph">
                        <wp:posOffset>32629</wp:posOffset>
                      </wp:positionV>
                      <wp:extent cx="2192400"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21924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228C03B1" id="Straight Connector 2" o:spid="_x0000_s1026" style="position:absolute;z-index:251661312;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2.55pt" to="172.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MQ5zwEAAAMEAAAOAAAAZHJzL2Uyb0RvYy54bWysU02P0zAQvSPxHyzfaT6EVhA13UNXywVB&#10;xcIP8Dp2Y8n2WGPTpP+esZumK0BCIC5Oxp73Zt7zeHs/O8tOCqMB3/NmU3OmvITB+GPPv319fPOO&#10;s5iEH4QFr3p+VpHf716/2k6hUy2MYAeFjEh87KbQ8zGl0FVVlKNyIm4gKE+HGtCJRCEeqwHFROzO&#10;Vm1d31UT4BAQpIqRdh8uh3xX+LVWMn3WOqrEbM+pt1RWLOtzXqvdVnRHFGE0cmlD/EMXThhPRVeq&#10;B5EE+47mFypnJEIEnTYSXAVaG6mKBlLT1D+peRpFUEULmRPDalP8f7Ty0+mAzAw9bznzwtEVPSUU&#10;5jgmtgfvyUBA1mafphA7St/7Ay5RDAfMomeNLn9JDpuLt+fVWzUnJmmzbd63b2u6Ank9q27AgDF9&#10;UOBY/um5NT7LFp04fYyJilHqNSVvW5/XCNYMj8baEuSBUXuL7CToqtPc5JYJ9yKLooysspBL6+Uv&#10;na26sH5RmqygZptSvQzhjVNIqXy6W3itp+wM09TBCqz/DFzyM1SVAf0b8IoolcGnFeyMB/xd9ZsV&#10;+pJ/deCiO1vwDMO5XGqxhiatOLe8ijzKL+MCv73d3Q8AAAD//wMAUEsDBBQABgAIAAAAIQAfSs7k&#10;2gAAAAQBAAAPAAAAZHJzL2Rvd25yZXYueG1sTI/NTsMwEITvSLyDtZW4Uaf0R1WIUyEEF8QloQe4&#10;ufE2jhqv09hpwtuzcKHH0Yxmvsl2k2vFBfvQeFKwmCcgkCpvGqoV7D9e77cgQtRkdOsJFXxjgF1+&#10;e5Pp1PiRCryUsRZcQiHVCmyMXSplqCw6Hea+Q2Lv6HunI8u+lqbXI5e7Vj4kyUY63RAvWN3hs8Xq&#10;VA5Owdv5PexXm+Kl+Dxvy/HrONjao1J3s+npEUTEKf6H4Ref0SFnpoMfyATRKuAjUcF6AYLN5Wq9&#10;BHH40zLP5DV8/gMAAP//AwBQSwECLQAUAAYACAAAACEAtoM4kv4AAADhAQAAEwAAAAAAAAAAAAAA&#10;AAAAAAAAW0NvbnRlbnRfVHlwZXNdLnhtbFBLAQItABQABgAIAAAAIQA4/SH/1gAAAJQBAAALAAAA&#10;AAAAAAAAAAAAAC8BAABfcmVscy8ucmVsc1BLAQItABQABgAIAAAAIQBZhMQ5zwEAAAMEAAAOAAAA&#10;AAAAAAAAAAAAAC4CAABkcnMvZTJvRG9jLnhtbFBLAQItABQABgAIAAAAIQAfSs7k2gAAAAQBAAAP&#10;AAAAAAAAAAAAAAAAACkEAABkcnMvZG93bnJldi54bWxQSwUGAAAAAAQABADzAAAAMAUAAAAA&#10;" strokecolor="black [3213]">
                      <w10:anchorlock/>
                    </v:line>
                  </w:pict>
                </mc:Fallback>
              </mc:AlternateContent>
            </w:r>
          </w:p>
          <w:p w:rsidR="009D255E" w:rsidRPr="00813295" w:rsidRDefault="00395F73">
            <w:pPr>
              <w:spacing w:after="0" w:line="240" w:lineRule="auto"/>
              <w:jc w:val="center"/>
            </w:pPr>
            <w:r w:rsidRPr="00813295">
              <w:rPr>
                <w:i/>
                <w:sz w:val="26"/>
              </w:rPr>
              <w:t>Thành phố Hồ Chí Minh, ngày     tháng     năm 2026</w:t>
            </w:r>
          </w:p>
        </w:tc>
      </w:tr>
    </w:tbl>
    <w:p w:rsidR="00F2411A" w:rsidRPr="00813295" w:rsidRDefault="00F2411A">
      <w:pPr>
        <w:spacing w:after="0" w:line="240" w:lineRule="auto"/>
        <w:jc w:val="center"/>
        <w:rPr>
          <w:b/>
          <w:sz w:val="26"/>
        </w:rPr>
      </w:pPr>
    </w:p>
    <w:p w:rsidR="009D255E" w:rsidRPr="00813295" w:rsidRDefault="00395F73">
      <w:pPr>
        <w:spacing w:after="0" w:line="240" w:lineRule="auto"/>
        <w:jc w:val="center"/>
        <w:rPr>
          <w:sz w:val="28"/>
          <w:szCs w:val="28"/>
        </w:rPr>
      </w:pPr>
      <w:r w:rsidRPr="00813295">
        <w:rPr>
          <w:b/>
          <w:sz w:val="28"/>
          <w:szCs w:val="28"/>
        </w:rPr>
        <w:t>BẢN SO SÁNH, THUYẾT MINH NỘI DUNG DỰ THẢO VĂN BẢN QUY PHẠM PHÁP LUẬT</w:t>
      </w:r>
    </w:p>
    <w:p w:rsidR="009D255E" w:rsidRPr="00813295" w:rsidRDefault="00395F73">
      <w:pPr>
        <w:spacing w:after="0" w:line="240" w:lineRule="auto"/>
        <w:jc w:val="center"/>
        <w:rPr>
          <w:sz w:val="28"/>
          <w:szCs w:val="28"/>
        </w:rPr>
      </w:pPr>
      <w:r w:rsidRPr="00813295">
        <w:rPr>
          <w:i/>
          <w:sz w:val="28"/>
          <w:szCs w:val="28"/>
        </w:rPr>
        <w:t>(Đính kèm Tờ trình số …/TTr-</w:t>
      </w:r>
      <w:r w:rsidR="00F2411A" w:rsidRPr="00813295">
        <w:rPr>
          <w:i/>
          <w:sz w:val="28"/>
          <w:szCs w:val="28"/>
        </w:rPr>
        <w:t xml:space="preserve">SKHCN </w:t>
      </w:r>
      <w:r w:rsidRPr="00813295">
        <w:rPr>
          <w:i/>
          <w:sz w:val="28"/>
          <w:szCs w:val="28"/>
        </w:rPr>
        <w:t xml:space="preserve">ngày … tháng … năm 2026 của </w:t>
      </w:r>
      <w:r w:rsidR="00F2411A" w:rsidRPr="00813295">
        <w:rPr>
          <w:i/>
          <w:sz w:val="28"/>
          <w:szCs w:val="28"/>
        </w:rPr>
        <w:t>Sở Khoa học và Công nghệ</w:t>
      </w:r>
      <w:r w:rsidRPr="00813295">
        <w:rPr>
          <w:i/>
          <w:sz w:val="28"/>
          <w:szCs w:val="28"/>
        </w:rPr>
        <w:t xml:space="preserve"> Thành phố)</w:t>
      </w:r>
    </w:p>
    <w:p w:rsidR="009D255E" w:rsidRPr="00813295" w:rsidRDefault="00FD7E37">
      <w:pPr>
        <w:spacing w:after="0"/>
        <w:jc w:val="both"/>
        <w:rPr>
          <w:sz w:val="28"/>
          <w:szCs w:val="28"/>
        </w:rPr>
      </w:pPr>
      <w:r w:rsidRPr="00813295">
        <w:rPr>
          <w:noProof/>
          <w:sz w:val="28"/>
          <w:szCs w:val="28"/>
        </w:rPr>
        <mc:AlternateContent>
          <mc:Choice Requires="wps">
            <w:drawing>
              <wp:anchor distT="0" distB="0" distL="114300" distR="114300" simplePos="0" relativeHeight="251662336" behindDoc="0" locked="1" layoutInCell="1" allowOverlap="1">
                <wp:simplePos x="0" y="0"/>
                <wp:positionH relativeFrom="column">
                  <wp:align>center</wp:align>
                </wp:positionH>
                <wp:positionV relativeFrom="paragraph">
                  <wp:posOffset>68580</wp:posOffset>
                </wp:positionV>
                <wp:extent cx="3517200"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35172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225DBE0B" id="Straight Connector 3" o:spid="_x0000_s1026" style="position:absolute;z-index:251662336;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5.4pt" to="276.9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o9zwEAAAMEAAAOAAAAZHJzL2Uyb0RvYy54bWysU02P0zAQvSPxHyzft2m2YkFR0z10tVwQ&#10;VCz8AK8zbiz5S2PTpP+esZOmK0BCoL04GXvem3nP4+39aA07AUbtXcvr1ZozcNJ32h1b/v3b480H&#10;zmISrhPGO2j5GSK/3719sx1CA7e+96YDZETiYjOElvcphaaqouzBirjyARwdKo9WJArxWHUoBmK3&#10;prpdr++qwWMX0EuIkXYfpkO+K/xKgUxflIqQmGk59ZbKimV9zmu124rmiCL0Ws5tiP/owgrtqOhC&#10;9SCSYD9Q/0ZltUQfvUor6W3lldISigZSU69/UfPUiwBFC5kTw2JTfD1a+fl0QKa7lm84c8LSFT0l&#10;FPrYJ7b3zpGBHtkm+zSE2FD63h1wjmI4YBY9KrT5S3LYWLw9L97CmJikzc27+j1dGGfyclZdgQFj&#10;+gjesvzTcqNdli0acfoUExWj1EtK3jYur9Eb3T1qY0qQBwb2BtlJ0FWnsc4tE+5FFkUZWWUhU+vl&#10;L50NTKxfQZEV1GxdqpchvHIKKcGlu5nXOMrOMEUdLMD134FzfoZCGdB/AS+IUtm7tICtdh7/VP1q&#10;hZryLw5MurMFz747l0st1tCkFefmV5FH+WVc4Ne3u/sJAAD//wMAUEsDBBQABgAIAAAAIQAAzF/7&#10;2wAAAAYBAAAPAAAAZHJzL2Rvd25yZXYueG1sTI/BTsMwEETvSPyDtUjcqEOhVQlxqgrBBXFJ2gPc&#10;3HgbR8TrNHaa8Pcs4tAeZ2Y18zZbT64VJ+xD40nB/SwBgVR501CtYLd9u1uBCFGT0a0nVPCDAdb5&#10;9VWmU+NHKvBUxlpwCYVUK7AxdqmUobLodJj5Domzg++djiz7Wppej1zuWjlPkqV0uiFesLrDF4vV&#10;dzk4Be/Hj7B7XBavxedxVY5fh8HWHpW6vZk2zyAiTvF8DH/4jA45M+39QCaIVgE/EtlNmJ/TxeLh&#10;CcT+35B5Ji/x818AAAD//wMAUEsBAi0AFAAGAAgAAAAhALaDOJL+AAAA4QEAABMAAAAAAAAAAAAA&#10;AAAAAAAAAFtDb250ZW50X1R5cGVzXS54bWxQSwECLQAUAAYACAAAACEAOP0h/9YAAACUAQAACwAA&#10;AAAAAAAAAAAAAAAvAQAAX3JlbHMvLnJlbHNQSwECLQAUAAYACAAAACEAP8s6Pc8BAAADBAAADgAA&#10;AAAAAAAAAAAAAAAuAgAAZHJzL2Uyb0RvYy54bWxQSwECLQAUAAYACAAAACEAAMxf+9sAAAAGAQAA&#10;DwAAAAAAAAAAAAAAAAApBAAAZHJzL2Rvd25yZXYueG1sUEsFBgAAAAAEAAQA8wAAADEFAAAAAA==&#10;" strokecolor="black [3213]">
                <w10:anchorlock/>
              </v:line>
            </w:pict>
          </mc:Fallback>
        </mc:AlternateContent>
      </w:r>
    </w:p>
    <w:p w:rsidR="009D255E" w:rsidRPr="00813295" w:rsidRDefault="00395F73" w:rsidP="00607D68">
      <w:pPr>
        <w:spacing w:before="120" w:after="120" w:line="240" w:lineRule="auto"/>
        <w:ind w:firstLine="567"/>
        <w:jc w:val="both"/>
        <w:rPr>
          <w:sz w:val="28"/>
          <w:szCs w:val="28"/>
        </w:rPr>
      </w:pPr>
      <w:r w:rsidRPr="00813295">
        <w:rPr>
          <w:b/>
          <w:sz w:val="28"/>
          <w:szCs w:val="28"/>
        </w:rPr>
        <w:t>1. Đối với văn bản sửa đổi, bổ sung, thay thế:</w:t>
      </w:r>
      <w:r w:rsidR="00607D68" w:rsidRPr="00813295">
        <w:rPr>
          <w:b/>
          <w:sz w:val="28"/>
          <w:szCs w:val="28"/>
        </w:rPr>
        <w:t xml:space="preserve"> </w:t>
      </w:r>
      <w:r w:rsidR="00607D68" w:rsidRPr="00813295">
        <w:rPr>
          <w:sz w:val="28"/>
          <w:szCs w:val="28"/>
        </w:rPr>
        <w:t>không có.</w:t>
      </w:r>
    </w:p>
    <w:p w:rsidR="00607D68" w:rsidRPr="00813295" w:rsidRDefault="00607D68" w:rsidP="00607D68">
      <w:pPr>
        <w:spacing w:before="120" w:after="120" w:line="240" w:lineRule="auto"/>
        <w:ind w:firstLine="567"/>
        <w:jc w:val="both"/>
        <w:rPr>
          <w:sz w:val="28"/>
          <w:szCs w:val="28"/>
        </w:rPr>
      </w:pPr>
      <w:r w:rsidRPr="00813295">
        <w:rPr>
          <w:b/>
          <w:sz w:val="28"/>
          <w:szCs w:val="28"/>
        </w:rPr>
        <w:t xml:space="preserve">2. Đối với văn bản ban hành mới: </w:t>
      </w:r>
    </w:p>
    <w:p w:rsidR="009D255E" w:rsidRPr="00813295" w:rsidRDefault="00395F73" w:rsidP="002B284E">
      <w:pPr>
        <w:spacing w:before="120" w:after="120" w:line="240" w:lineRule="auto"/>
        <w:ind w:firstLine="567"/>
        <w:jc w:val="both"/>
        <w:rPr>
          <w:i/>
          <w:sz w:val="28"/>
          <w:szCs w:val="28"/>
        </w:rPr>
      </w:pPr>
      <w:r w:rsidRPr="00813295">
        <w:rPr>
          <w:sz w:val="28"/>
          <w:szCs w:val="28"/>
        </w:rPr>
        <w:t xml:space="preserve">Dự thảo Nghị quyết quy định tiêu chí, điều kiện, trình tự, thủ tục, nội dung và mức hỗ trợ không hoàn lại từ ngân sách Thành phố để ươm tạo dự án khởi nghiệp sáng tạo trên địa bàn Thành phố Hồ Chí Minh </w:t>
      </w:r>
      <w:r w:rsidR="002B284E" w:rsidRPr="00813295">
        <w:rPr>
          <w:sz w:val="28"/>
          <w:szCs w:val="28"/>
        </w:rPr>
        <w:t>cho các nội dung quy định tại điểm h khoản 2 Điều 28 Luật Phát triển đô thị</w:t>
      </w:r>
      <w:r w:rsidR="00607D68" w:rsidRPr="00813295">
        <w:rPr>
          <w:sz w:val="28"/>
          <w:szCs w:val="28"/>
        </w:rPr>
        <w:t>.</w:t>
      </w:r>
      <w:r w:rsidR="002B284E" w:rsidRPr="00813295">
        <w:rPr>
          <w:sz w:val="28"/>
          <w:szCs w:val="2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649"/>
        <w:gridCol w:w="6066"/>
        <w:gridCol w:w="4535"/>
      </w:tblGrid>
      <w:tr w:rsidR="00813295" w:rsidRPr="00813295" w:rsidTr="002B284E">
        <w:trPr>
          <w:tblHeader/>
          <w:jc w:val="center"/>
        </w:trPr>
        <w:tc>
          <w:tcPr>
            <w:tcW w:w="4649" w:type="dxa"/>
            <w:tcMar>
              <w:top w:w="80" w:type="dxa"/>
              <w:left w:w="90" w:type="dxa"/>
              <w:bottom w:w="80" w:type="dxa"/>
              <w:right w:w="90" w:type="dxa"/>
            </w:tcMar>
            <w:vAlign w:val="center"/>
          </w:tcPr>
          <w:p w:rsidR="009D255E" w:rsidRPr="00813295" w:rsidRDefault="00395F73" w:rsidP="002B284E">
            <w:pPr>
              <w:spacing w:after="0" w:line="240" w:lineRule="auto"/>
              <w:jc w:val="center"/>
              <w:rPr>
                <w:rFonts w:cs="Times New Roman"/>
                <w:sz w:val="26"/>
                <w:szCs w:val="26"/>
              </w:rPr>
            </w:pPr>
            <w:r w:rsidRPr="00813295">
              <w:rPr>
                <w:rFonts w:cs="Times New Roman"/>
                <w:b/>
                <w:sz w:val="26"/>
                <w:szCs w:val="26"/>
              </w:rPr>
              <w:t>QUY PHẠM PHÁP LUẬT</w:t>
            </w:r>
          </w:p>
          <w:p w:rsidR="009D255E" w:rsidRPr="00813295" w:rsidRDefault="00395F73" w:rsidP="002B284E">
            <w:pPr>
              <w:spacing w:after="0" w:line="240" w:lineRule="auto"/>
              <w:jc w:val="center"/>
              <w:rPr>
                <w:rFonts w:cs="Times New Roman"/>
                <w:sz w:val="26"/>
                <w:szCs w:val="26"/>
              </w:rPr>
            </w:pPr>
            <w:r w:rsidRPr="00813295">
              <w:rPr>
                <w:rFonts w:cs="Times New Roman"/>
                <w:b/>
                <w:sz w:val="26"/>
                <w:szCs w:val="26"/>
              </w:rPr>
              <w:t>HIỆN HÀNH</w:t>
            </w:r>
            <w:r w:rsidR="00241A7C" w:rsidRPr="00813295">
              <w:rPr>
                <w:rStyle w:val="FootnoteReference"/>
                <w:rFonts w:cs="Times New Roman"/>
                <w:b/>
                <w:sz w:val="26"/>
                <w:szCs w:val="26"/>
              </w:rPr>
              <w:footnoteReference w:id="1"/>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center"/>
              <w:rPr>
                <w:rFonts w:cs="Times New Roman"/>
                <w:sz w:val="26"/>
                <w:szCs w:val="26"/>
              </w:rPr>
            </w:pPr>
            <w:r w:rsidRPr="00813295">
              <w:rPr>
                <w:rFonts w:cs="Times New Roman"/>
                <w:b/>
                <w:sz w:val="26"/>
                <w:szCs w:val="26"/>
              </w:rPr>
              <w:t>DỰ THẢO VĂN BẢN</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center"/>
              <w:rPr>
                <w:rFonts w:cs="Times New Roman"/>
                <w:sz w:val="26"/>
                <w:szCs w:val="26"/>
              </w:rPr>
            </w:pPr>
            <w:r w:rsidRPr="00813295">
              <w:rPr>
                <w:rFonts w:cs="Times New Roman"/>
                <w:b/>
                <w:sz w:val="26"/>
                <w:szCs w:val="26"/>
              </w:rPr>
              <w:t>THUYẾT MINH</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1. Phạm vi điều chỉnh</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Nghị quyết này quy định lĩnh vực ưu tiên, tiêu chí, điều kiện, nội dung và mức hỗ trợ dự án đổi mới sáng tạo, khởi nghiệp sáng tạo trên địa bàn Thành phố Hồ Chí Minh theo quy định tại điểm đ, điểm e khoản 1 Điều 8 và điểm a khoản 3 Điều 11 Nghị quyết số 98/2023/QH15.</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1. Phạm vi điều chỉnh</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Nghị quyết này quy định tiêu chí, điều kiện, trình tự, thủ tục, nội dung và mức hỗ trợ không hoàn lại từ ngân sách Thành phố để ươm tạo dự án khởi nghiệp sáng tạo trên địa bàn Thành phố Hồ Chí Minh cho các nội dung quy định tại điểm h khoản 2 Điều 28 Luật Phát triển đô thị.</w:t>
            </w:r>
          </w:p>
        </w:tc>
        <w:tc>
          <w:tcPr>
            <w:tcW w:w="4535" w:type="dxa"/>
            <w:tcMar>
              <w:top w:w="80" w:type="dxa"/>
              <w:left w:w="90" w:type="dxa"/>
              <w:bottom w:w="80" w:type="dxa"/>
              <w:right w:w="90" w:type="dxa"/>
            </w:tcMar>
            <w:vAlign w:val="center"/>
          </w:tcPr>
          <w:p w:rsidR="009D255E" w:rsidRPr="00813295" w:rsidRDefault="00395F73" w:rsidP="00FC0B10">
            <w:pPr>
              <w:spacing w:after="0" w:line="240" w:lineRule="auto"/>
              <w:jc w:val="both"/>
              <w:rPr>
                <w:rFonts w:cs="Times New Roman"/>
                <w:sz w:val="26"/>
                <w:szCs w:val="26"/>
              </w:rPr>
            </w:pPr>
            <w:r w:rsidRPr="00813295">
              <w:rPr>
                <w:rFonts w:cs="Times New Roman"/>
                <w:sz w:val="26"/>
                <w:szCs w:val="26"/>
              </w:rPr>
              <w:t>Điều chỉnh phạm vi theo nội dung được Quốc hội giao Hội đồng nhân dân Thành phố quy định chi tiết tại điểm h khoản 2 Điều 28 Luật Phát triển đô thị.</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lastRenderedPageBreak/>
              <w:t>Điều 2. Đối tượng áp dụng</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Cá nhân, nhóm cá nhân, doanh nghiệp có dự án đổi mới sáng tạo, khởi nghiệp sáng tạo thuộc các lĩnh vực ưu tiên của Thành phố Hồ Chí Minh và các tổ chức, cá nhân khác có liên quan.</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2. Đối tượng áp dụng</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1. Cá nhân, nhóm cá nhân, doanh nghiệp có dự án khởi nghiệp sáng tạo trên địa bàn Thành phố Hồ Chí Minh.</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2. Tổ chức trung gian hỗ trợ khởi nghiệp sáng tạo đăng ký thực hiện nhiệm vụ hỗ trợ khởi nghiệp sáng tạo trên địa bàn Thành phố Hồ Chí Minh.</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3. Cơ quan quản lý nhiệm vụ đổi mới sáng tạo theo phân cấp của Ủy ban nhân dân Thành phố và các cơ quan, tổ chức, cá nhân khác có liên quan.</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Bổ sung đầy đủ các chủ thể tham gia cơ chế hỗ trợ, gồm: chủ dự án là đối tượng thụ hưởng; tổ chức trung gian là đơn vị đăng ký, tổ chức thực hiện nhiệm vụ; cơ quan quản lý nhiệm vụ và các chủ thể liên quan.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Việc xác định rõ từng nhóm đối tượng nhằm phân định trách nhiệm trong tuyển chọn, phê duyệt, tổ chức hỗ trợ, quản lý và quyết toán kinh phí.</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3. Giải thích từ ngữ</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Quy định 03 giai đoạn của dự án đổi mới sáng tạo, khởi nghiệp sáng tạo: tiền ươm tạo, ươm tạo và tăng tốc, chủ yếu mô tả theo hoạt động thực hiện ở từng giai đoạn.</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3. Giải thích từ ngữ</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1. Dự án khởi nghiệp sáng tạo.</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2. Dự án ở giai đoạn tiền ươm tạo.</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3. Dự án ở giai đoạn ươm tạo.</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4. Dự án ở giai đoạn tăng tốc.</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5. Tổ chức trung gian hỗ trợ khởi nghiệp sáng tạo là trung tâm đổi mới sáng tạo, trung tâm hỗ trợ khởi nghiệp sáng tạo có tư cách pháp nhân, được công nhận theo quy định của Luật Khoa học, công nghệ và đổi mới sáng tạo và hoạt động trên địa bàn Thành phố Hồ Chí Minh.</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Kế thừa 03 giai đoạn hỗ trợ nhưng chuẩn hóa khái niệm dự án khởi nghiệp sáng tạo theo Luật Khoa học, công nghệ và đổi mới sáng tạo và Nghị định số 268/2025/NĐ-CP.</w:t>
            </w:r>
          </w:p>
          <w:p w:rsidR="009D255E" w:rsidRPr="00813295" w:rsidRDefault="00395F73" w:rsidP="002B284E">
            <w:pPr>
              <w:spacing w:after="0" w:line="240" w:lineRule="auto"/>
              <w:jc w:val="both"/>
              <w:rPr>
                <w:rFonts w:cs="Times New Roman"/>
                <w:sz w:val="26"/>
                <w:szCs w:val="26"/>
              </w:rPr>
            </w:pPr>
            <w:r w:rsidRPr="00813295">
              <w:rPr>
                <w:sz w:val="26"/>
              </w:rPr>
              <w:t>Làm rõ mức độ phát triển của sản phẩm, thị trường và mô hình kinh doanh ở từng giai đoạn; xác định dự án tăng tốc là dự án của doanh nghiệp đã có sản phẩm được thị trường chấp nhận, có khách hàng hoặc doanh thu.</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Bổ sung khái niệm tổ chức trung gian để bảo đảm tổ chức thực hiện nhiệm vụ có tư cách pháp nhân và được công nhận theo pháp luật hiện hành.</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4. Các lĩnh vực ưu tiên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lastRenderedPageBreak/>
              <w:t>Quy định 09 lĩnh vực ưu tiên: thương mại điện tử; công nghệ tài chính; logistics; công nghệ giáo dục; y tế và chăm sóc sức khỏe; nông nghiệp công nghệ cao; phát triển bền vững; chuyển đổi số; an ninh mạng.</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sz w:val="26"/>
              </w:rPr>
              <w:lastRenderedPageBreak/>
              <w:t>Không quy định danh mục lĩnh vực ưu tiên theo hướng khép kín.</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sz w:val="26"/>
              </w:rPr>
              <w:t xml:space="preserve">Luật Phát triển đô thị giao Hội đồng nhân dân Thành phố quy định “lĩnh vực” hỗ trợ. </w:t>
            </w:r>
            <w:r w:rsidRPr="00813295">
              <w:rPr>
                <w:sz w:val="26"/>
              </w:rPr>
              <w:lastRenderedPageBreak/>
              <w:t>Dự thảo không giới hạn bằng danh mục ngành, lĩnh vực cố định nhằm tránh bỏ sót mô hình, công nghệ và nhu cầu thị trường mới; định hướng, lĩnh vực ưu tiên cụ thể (nếu cần) được xác định trong kế hoạch, thông báo tuyển chọn hằng năm trên cơ sở chiến lược, kế hoạch phát triển kinh tế - xã hội, khoa học, công nghệ và đổi mới sáng tạo của Thành phố và khả năng cân đối ngân sách.</w:t>
            </w:r>
          </w:p>
          <w:p w:rsidR="009D255E" w:rsidRPr="00813295" w:rsidRDefault="00395F73" w:rsidP="002B284E">
            <w:pPr>
              <w:spacing w:after="0" w:line="240" w:lineRule="auto"/>
              <w:jc w:val="both"/>
              <w:rPr>
                <w:rFonts w:cs="Times New Roman"/>
                <w:sz w:val="26"/>
                <w:szCs w:val="26"/>
              </w:rPr>
            </w:pPr>
            <w:r w:rsidRPr="00813295">
              <w:rPr>
                <w:sz w:val="26"/>
              </w:rPr>
              <w:t>Nội dung này cần tiếp tục rà soát để bảo đảm Nghị quyết thực hiện đầy đủ nội dung Quốc hội giao về “lĩnh vực”; trường hợp không quy định danh mục khép kín, nên thể hiện rõ nguyên tắc xác định lĩnh vực ngay trong dự thảo Nghị quyết.</w:t>
            </w:r>
          </w:p>
        </w:tc>
      </w:tr>
      <w:tr w:rsidR="00813295" w:rsidRPr="00813295" w:rsidTr="002B284E">
        <w:trPr>
          <w:jc w:val="center"/>
        </w:trPr>
        <w:tc>
          <w:tcPr>
            <w:tcW w:w="4649" w:type="dxa"/>
            <w:tcMar>
              <w:top w:w="80" w:type="dxa"/>
              <w:left w:w="90" w:type="dxa"/>
              <w:bottom w:w="80" w:type="dxa"/>
              <w:right w:w="90" w:type="dxa"/>
            </w:tcMar>
            <w:vAlign w:val="center"/>
          </w:tcPr>
          <w:p w:rsidR="00C40C8E" w:rsidRPr="00813295" w:rsidRDefault="00C40C8E" w:rsidP="00C40C8E">
            <w:pPr>
              <w:spacing w:after="0" w:line="240" w:lineRule="auto"/>
              <w:jc w:val="both"/>
              <w:rPr>
                <w:rFonts w:cs="Times New Roman"/>
                <w:b/>
                <w:sz w:val="26"/>
                <w:szCs w:val="26"/>
              </w:rPr>
            </w:pPr>
            <w:r w:rsidRPr="00813295">
              <w:rPr>
                <w:rFonts w:cs="Times New Roman"/>
                <w:b/>
                <w:sz w:val="26"/>
                <w:szCs w:val="26"/>
              </w:rPr>
              <w:lastRenderedPageBreak/>
              <w:t>Nguyên tắc hỗ trợ</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Không quy định riêng nguyên tắc hỗ trợ.</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4. Nguyên tắc hỗ trợ</w:t>
            </w:r>
          </w:p>
          <w:p w:rsidR="009D255E" w:rsidRPr="00813295" w:rsidRDefault="00395F73" w:rsidP="002B284E">
            <w:pPr>
              <w:spacing w:after="0" w:line="240" w:lineRule="auto"/>
              <w:jc w:val="both"/>
              <w:rPr>
                <w:rFonts w:cs="Times New Roman"/>
                <w:sz w:val="26"/>
                <w:szCs w:val="26"/>
              </w:rPr>
            </w:pPr>
            <w:r w:rsidRPr="00813295">
              <w:rPr>
                <w:sz w:val="26"/>
              </w:rPr>
              <w:t xml:space="preserve">Quy định các nguyên tắc: công khai, minh bạch, bình đẳng, đúng đối tượng, đúng nội dung, không trùng lặp; dự án được hỗ trợ thông qua nhiệm vụ do tổ chức trung gian đăng ký thực hiện; không hỗ trợ dự án thuộc ngành, nghề cấm đầu tư kinh doanh; trường hợp cùng nội dung, cùng giai đoạn đủ điều kiện hưởng nhiều chính sách từ ngân sách nhà nước thì lựa chọn một chính sách có lợi nhất; mỗi nhiệm vụ có thể hỗ trợ một hoặc nhiều dự án; tiêu chí, điều kiện, nội dung và mức hỗ trợ được xác định theo từng dự án, còn việc phê duyệt, ký hợp đồng, cấp và </w:t>
            </w:r>
            <w:r w:rsidRPr="00813295">
              <w:rPr>
                <w:sz w:val="26"/>
              </w:rPr>
              <w:lastRenderedPageBreak/>
              <w:t>quyết toán kinh phí được thực hiện theo nhiệm vụ; thời gian thực hiện nhiệm vụ không quá 12 tháng.</w:t>
            </w:r>
          </w:p>
        </w:tc>
        <w:tc>
          <w:tcPr>
            <w:tcW w:w="4535" w:type="dxa"/>
            <w:tcMar>
              <w:top w:w="80" w:type="dxa"/>
              <w:left w:w="90" w:type="dxa"/>
              <w:bottom w:w="80" w:type="dxa"/>
              <w:right w:w="90" w:type="dxa"/>
            </w:tcMar>
            <w:vAlign w:val="center"/>
          </w:tcPr>
          <w:p w:rsidR="005A77F4" w:rsidRPr="00813295" w:rsidRDefault="005A77F4" w:rsidP="005A77F4">
            <w:pPr>
              <w:spacing w:after="0" w:line="240" w:lineRule="auto"/>
              <w:jc w:val="both"/>
              <w:rPr>
                <w:rFonts w:cs="Times New Roman"/>
                <w:sz w:val="26"/>
                <w:szCs w:val="26"/>
              </w:rPr>
            </w:pPr>
            <w:r w:rsidRPr="00813295">
              <w:rPr>
                <w:sz w:val="26"/>
              </w:rPr>
              <w:lastRenderedPageBreak/>
              <w:t>Luật Phát triển đô thị không quy định riêng nguyên tắc hỗ trợ; tuy nhiên, việc bổ sung Điều này là cần thiết để xác lập yêu cầu chung, xuyên suốt trong tổ chức thực hiện, bảo đảm công khai, minh bạch, bình đẳng, đúng đối tượng, đúng nội dung và không trùng lặp.</w:t>
            </w:r>
          </w:p>
          <w:p w:rsidR="009D255E" w:rsidRPr="00813295" w:rsidRDefault="005A77F4" w:rsidP="005A77F4">
            <w:pPr>
              <w:spacing w:after="0" w:line="240" w:lineRule="auto"/>
              <w:jc w:val="both"/>
              <w:rPr>
                <w:rFonts w:cs="Times New Roman"/>
                <w:sz w:val="26"/>
                <w:szCs w:val="26"/>
              </w:rPr>
            </w:pPr>
            <w:r w:rsidRPr="00813295">
              <w:rPr>
                <w:sz w:val="26"/>
              </w:rPr>
              <w:t xml:space="preserve">Quy định làm rõ dự án là đối tượng được đánh giá, thụ hưởng hỗ trợ; tổ chức trung gian đăng ký và chịu trách nhiệm thực hiện nhiệm vụ, ký hợp đồng, quản lý, sử </w:t>
            </w:r>
            <w:r w:rsidRPr="00813295">
              <w:rPr>
                <w:sz w:val="26"/>
              </w:rPr>
              <w:lastRenderedPageBreak/>
              <w:t>dụng và quyết toán kinh phí. Đây là cơ sở để thống nhất áp dụng và phòng ngừa hỗ trợ trùng lặp.</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lastRenderedPageBreak/>
              <w:t>Điều 5. Tiêu chí tuyển chọn dự án đổi mới sáng tạo, khởi nghiệp sáng tạo</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Gồm 06 tiêu chí: tính sáng tạo; năng lực tổ chức thực hiện; hiệu quả kinh tế hoặc tác động xã hội; thị trường tiềm năng; ứng dụng công nghệ; mô hình kinh doanh.</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5. Tiêu chí đối với dự án khởi nghiệp sáng tạo và tổ chức trung gian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1. Quy định 05 nhóm tiêu chí chung đối với dự án: tính khả thi; hồ sơ, mục tiêu, phương án, kết quả đầu ra và kế hoạch tài chính; khả năng ứng dụng, tác động; phù hợp thông báo tuyển chọn; tuân thủ pháp luật có liên quan.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2. Quy định tiêu chí và kết quả đầu ra tối thiểu tương ứng với từng giai đoạn tiền ươm tạo, ươm tạo, tăng tốc.</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3. Quy định 06 nhóm tiêu chí đối với tổ chức trung gian về năng lực, giải pháp thu hút chuyên gia, nhà đầu tư; huy động nguồn lực; liên kết hệ sinh thái; đội ngũ chuyên gia, đối tác; thông tin, truyền thông, xúc tiến thương mại.</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Cụ thể hóa tiêu chí lựa chọn nhiệm vụ hỗ trợ khởi nghiệp sáng tạo tại Điều 8 Nghị định số 268/2025/NĐ-CP; đồng thời chuyển từ tiêu chí định tính, khái quát sang tiêu chí có thể kiểm chứng bằng hồ sơ và kết quả đầu ra.</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Tách tiêu chí của dự án và tiêu chí của tổ chức trung gian để đánh giá đúng năng lực của từng chủ thể. Bổ sung kết quả đầu ra tối thiểu theo từng giai đoạn làm cơ sở xét duyệt, ký hợp đồng, kiểm tra,</w:t>
            </w:r>
            <w:r w:rsidR="00071355" w:rsidRPr="00813295">
              <w:rPr>
                <w:rFonts w:cs="Times New Roman"/>
                <w:sz w:val="26"/>
                <w:szCs w:val="26"/>
              </w:rPr>
              <w:t xml:space="preserve"> thanh toán và đánh giá kết quả; </w:t>
            </w:r>
            <w:r w:rsidR="00071355" w:rsidRPr="00813295">
              <w:rPr>
                <w:sz w:val="26"/>
                <w:szCs w:val="26"/>
              </w:rPr>
              <w:t>đồng thời bảo đảm dự án đạt được bước phát triển cụ thể về sản phẩm, mô hình kinh doanh, thị trường, khách hàng hoặc khả năng huy động nguồn lực sau thời gian hỗ trợ, góp phần hạn chế tình trạng dự án không tiếp tục phát triển sau khi kết thúc nhiệm vụ.</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b/>
                <w:sz w:val="26"/>
              </w:rPr>
              <w:t>Khoản 3 Điều 6, khoản 3 Điều 7 và khoản 3 Điều 8. Điều kiện hỗ trợ</w:t>
            </w:r>
          </w:p>
          <w:p w:rsidR="009D255E" w:rsidRPr="00813295" w:rsidRDefault="00155120" w:rsidP="002B284E">
            <w:pPr>
              <w:spacing w:after="0" w:line="240" w:lineRule="auto"/>
              <w:jc w:val="both"/>
              <w:rPr>
                <w:rFonts w:cs="Times New Roman"/>
                <w:sz w:val="26"/>
                <w:szCs w:val="26"/>
              </w:rPr>
            </w:pPr>
            <w:r w:rsidRPr="00813295">
              <w:rPr>
                <w:rFonts w:cs="Times New Roman"/>
                <w:sz w:val="26"/>
                <w:szCs w:val="26"/>
              </w:rPr>
              <w:t>T</w:t>
            </w:r>
            <w:r w:rsidR="00395F73" w:rsidRPr="00813295">
              <w:rPr>
                <w:rFonts w:cs="Times New Roman"/>
                <w:sz w:val="26"/>
                <w:szCs w:val="26"/>
              </w:rPr>
              <w:t>ại thời điểm đăng ký, dự án chưa nhận được nguồn kinh phí hỗ trợ từ ngân sách Thành phố cho giai đoạn đề nghị hỗ trợ.</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6. Điều kiện đối với dự án khởi nghiệp sáng tạo và tổ chức trung gian</w:t>
            </w:r>
          </w:p>
          <w:p w:rsidR="009D255E" w:rsidRPr="00813295" w:rsidRDefault="00395F73" w:rsidP="002B284E">
            <w:pPr>
              <w:spacing w:after="0" w:line="240" w:lineRule="auto"/>
              <w:jc w:val="both"/>
              <w:rPr>
                <w:rFonts w:cs="Times New Roman"/>
                <w:sz w:val="26"/>
                <w:szCs w:val="26"/>
              </w:rPr>
            </w:pPr>
            <w:r w:rsidRPr="00813295">
              <w:rPr>
                <w:sz w:val="26"/>
              </w:rPr>
              <w:t>1. Dự án chưa nhận hỗ trợ từ ngân sách Thành phố cho cùng nội dung theo giai đoạn đề nghị; doanh nghiệp được thành lập theo Luật Doanh nghiệp và có trụ sở chính trên địa bàn Thành phố.</w:t>
            </w:r>
          </w:p>
          <w:p w:rsidR="009D255E" w:rsidRPr="00813295" w:rsidRDefault="00395F73" w:rsidP="002B284E">
            <w:pPr>
              <w:spacing w:after="0" w:line="240" w:lineRule="auto"/>
              <w:jc w:val="both"/>
              <w:rPr>
                <w:rFonts w:cs="Times New Roman"/>
                <w:sz w:val="26"/>
                <w:szCs w:val="26"/>
              </w:rPr>
            </w:pPr>
            <w:r w:rsidRPr="00813295">
              <w:rPr>
                <w:sz w:val="26"/>
              </w:rPr>
              <w:lastRenderedPageBreak/>
              <w:t>2. Tổ chức trung gian có chức năng, nhiệm vụ hoặc ngành, nghề phù hợp, có năng lực thực hiện và không thuộc các trường hợp: chưa thực hiện quyết toán hoặc chưa hoàn trả đủ kinh phí phải thu hồi; đang trong thời hạn không được đăng ký do bị đình chỉ thực hiện nhiệm vụ; đang bị đình chỉ hoạt động hoặc bị khởi tố.</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rFonts w:cs="Times New Roman"/>
                <w:sz w:val="26"/>
                <w:szCs w:val="26"/>
              </w:rPr>
              <w:lastRenderedPageBreak/>
              <w:t>Kế thừa điều kiện không hỗ trợ trùng lặp và bổ sung điều kiện để bảo đảm đối tượng, phạm vi địa bàn, năng lực và tính tuân thủ của tổ chức trung gian.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xml:space="preserve">Các trường hợp không đủ điều kiện đăng ký nhiệm vụ được quy định tương ứng </w:t>
            </w:r>
            <w:r w:rsidRPr="00813295">
              <w:rPr>
                <w:rFonts w:cs="Times New Roman"/>
                <w:sz w:val="26"/>
                <w:szCs w:val="26"/>
              </w:rPr>
              <w:lastRenderedPageBreak/>
              <w:t>Điều 9 Nghị định số 268/2025/NĐ-CP, góp phần kiểm soát rủi ro ngân sách và nâng cao trách nhiệm thực hiện nhiệm vụ.</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b/>
                <w:sz w:val="26"/>
              </w:rPr>
              <w:lastRenderedPageBreak/>
              <w:t>Khoản 2 Điều 6, khoản 2 Điều 7 và khoản 2 Điều 8. Nội dung hỗ trợ</w:t>
            </w:r>
          </w:p>
          <w:p w:rsidR="009D255E" w:rsidRPr="00813295" w:rsidRDefault="00C54DC6" w:rsidP="002B284E">
            <w:pPr>
              <w:spacing w:after="0" w:line="240" w:lineRule="auto"/>
              <w:jc w:val="both"/>
              <w:rPr>
                <w:rFonts w:cs="Times New Roman"/>
                <w:sz w:val="26"/>
                <w:szCs w:val="26"/>
              </w:rPr>
            </w:pPr>
            <w:r w:rsidRPr="00813295">
              <w:rPr>
                <w:rFonts w:cs="Times New Roman"/>
                <w:sz w:val="26"/>
                <w:szCs w:val="26"/>
              </w:rPr>
              <w:t>G</w:t>
            </w:r>
            <w:r w:rsidR="00395F73" w:rsidRPr="00813295">
              <w:rPr>
                <w:rFonts w:cs="Times New Roman"/>
                <w:sz w:val="26"/>
                <w:szCs w:val="26"/>
              </w:rPr>
              <w:t>ồm: tiền công lao động trực tiếp; chi phí tổ chức tuyển chọn dự án (đối với tiền ươm tạo, ươm tạo); thuê chuyên gia; sử dụng dịch vụ hỗ trợ đổi mới sáng tạo và khởi nghiệp; sử dụng cơ sở kỹ thuật, cơ sở ươm tạo, khu làm việc chung.</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Khoản 1 Điều 7. Nội dung hỗ trợ</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a) Tiền công lao động trực tiếp cho cá nhân, nhóm cá nhân, doanh nghiệp trực tiếp thực hiện 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b) Chi phí của tổ chức trung gian để tuyển chọn, ươm tạo và tăng tốc dự án, gồm: tổ chức tuyển chọn; thuê chuyên gia; cung cấp hoặc thuê dịch vụ hỗ trợ về công nghệ, mô hình kinh doanh, pháp lý, tài chính, quản trị, sở hữu trí tuệ, marketing, kết nối đầu tư, đào tạo, thử nghiệm, hoàn thiện sản phẩm, phát triển thị trường, tiêu chuẩn, đo lường, chất lượng, truyền thông, xúc tiến thương mại; sử dụng cơ sở kỹ thuật, cơ sở ươm tạo, trung tâm đổi mới sáng tạo, trung tâm hỗ trợ khởi nghiệp sáng tạo, khu làm việc chung, hạ tầng và thiết bị.</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Các khoản chi được xác định theo từng dự án và tổng hợp trong dự toán nhiệm vụ; tổ chức trung gian quản lý, thanh toán toàn bộ kinh phí nhiệm vụ.</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Cụ thể hóa đầy đủ các nhóm chi phí được Luật Phát triển đô thị giao; cập nhật thuật ngữ và phạm vi dịch vụ theo Luật Khoa học, công nghệ và đổi mới sáng tạo.</w:t>
            </w:r>
          </w:p>
          <w:p w:rsidR="009D255E" w:rsidRPr="00813295" w:rsidRDefault="00395F73" w:rsidP="002B284E">
            <w:pPr>
              <w:spacing w:after="0" w:line="240" w:lineRule="auto"/>
              <w:jc w:val="both"/>
              <w:rPr>
                <w:rFonts w:cs="Times New Roman"/>
                <w:sz w:val="26"/>
                <w:szCs w:val="26"/>
              </w:rPr>
            </w:pPr>
            <w:r w:rsidRPr="00813295">
              <w:rPr>
                <w:sz w:val="26"/>
              </w:rPr>
              <w:t>Bổ sung nguyên tắc xác định chi phí theo từng dự án nhưng tổng hợp, quản lý và quyết toán theo nhiệm vụ; làm rõ chủ dự án là đối tượng thụ hưởng tiền công, dịch vụ, hạ tầng và hoạt động hỗ trợ, không phải là bên ký hợp đồng và trực tiếp quản lý toàn bộ kinh phí nhiệm vụ.</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1290C" w:rsidP="002B284E">
            <w:pPr>
              <w:spacing w:after="0" w:line="240" w:lineRule="auto"/>
              <w:jc w:val="both"/>
              <w:rPr>
                <w:rFonts w:cs="Times New Roman"/>
                <w:b/>
                <w:sz w:val="26"/>
                <w:szCs w:val="26"/>
              </w:rPr>
            </w:pPr>
            <w:r w:rsidRPr="00813295">
              <w:rPr>
                <w:b/>
                <w:sz w:val="26"/>
              </w:rPr>
              <w:t>Khoản 1 và khoản 2 Điều 6. Mức hỗ trợ dự án giai đoạn tiền ươm tạo</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Tổng mức hỗ trợ: 40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Tiền công lao động trực tiếp: 10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lastRenderedPageBreak/>
              <w:t>- Chi phí tuyển chọn, chuyên gia, dịch vụ, cơ sở kỹ thuật: 30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Thời gian hỗ trợ: không quá 06 tháng.</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b/>
                <w:sz w:val="26"/>
              </w:rPr>
              <w:lastRenderedPageBreak/>
              <w:t>Khoản 2 Điều 7. Mức hỗ trợ dự án ở giai đoạn tiền ươm tạo</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Tổng mức hỗ trợ: 50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Tiền công lao động trực tiếp: 20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Chi phí của tổ chức trung gian: 30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lastRenderedPageBreak/>
              <w:t>- Thời gian hỗ trợ: không quá 06 tháng.</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rFonts w:cs="Times New Roman"/>
                <w:sz w:val="26"/>
                <w:szCs w:val="26"/>
              </w:rPr>
              <w:lastRenderedPageBreak/>
              <w:t xml:space="preserve">Tổng mức hỗ trợ tăng 10 triệu đồng/dự án, tương ứng 25%. Tăng phần tiền công trực tiếp từ 10 triệu đồng lên 20 triệu đồng để phù hợp khối lượng nghiên cứu thị trường, xác thực vấn đề - giải pháp, phát triển </w:t>
            </w:r>
            <w:r w:rsidRPr="00813295">
              <w:rPr>
                <w:rFonts w:cs="Times New Roman"/>
                <w:sz w:val="26"/>
                <w:szCs w:val="26"/>
              </w:rPr>
              <w:lastRenderedPageBreak/>
              <w:t>nguyên mẫu hoặc mô hình thử nghiệm và yêu cầu đầu ra cụ thể.</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Giữ mức 30 triệu đồng cho hoạt động tuyển chọn, chuyên gia, dịch vụ và hạ tầng nhằm bảo đảm tập trung nguồn lực cho việc hoàn thiện ý tưởng và nguyên mẫu ở giai đoạn đầu.</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1290C" w:rsidP="002B284E">
            <w:pPr>
              <w:spacing w:after="0" w:line="240" w:lineRule="auto"/>
              <w:jc w:val="both"/>
              <w:rPr>
                <w:rFonts w:cs="Times New Roman"/>
                <w:b/>
                <w:sz w:val="26"/>
                <w:szCs w:val="26"/>
              </w:rPr>
            </w:pPr>
            <w:r w:rsidRPr="00813295">
              <w:rPr>
                <w:b/>
                <w:sz w:val="26"/>
              </w:rPr>
              <w:lastRenderedPageBreak/>
              <w:t>Khoản 1 và khoản 2 Điều 7. Mức hỗ trợ dự án giai đoạn ươm tạo</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Tổng mức hỗ trợ: 80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Tiền công lao động trực tiếp: 30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Chi phí tuyển chọn, chuyên gia, dịch vụ, cơ sở kỹ thuật: 50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Thời gian hỗ trợ: không quá 12 tháng.</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b/>
                <w:sz w:val="26"/>
              </w:rPr>
              <w:t>Khoản 3 Điều 7. Mức hỗ trợ dự án ở giai đoạn ươm tạo</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Tổng mức hỗ trợ: 100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Tiền công lao động trực tiếp: 40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Chi phí của tổ chức trung gian: 60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Thời gian hỗ trợ: không quá 12 tháng.</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Tổng mức hỗ trợ tăng 20 triệu đồng/dự án, tương ứng 25%. Việc tăng cả tiền công và chi phí hỗ trợ nhằm đáp ứng yêu cầu hoàn thiện sản phẩm tối thiểu khả thi, thử nghiệm với khách hàng hoặc thị trường mục tiêu, hoàn thiện mô hình kinh doanh, sở hữu trí tuệ, pháp lý và phương án thương mại hóa.</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Mức hỗ trợ vẫn là mức tối đa; kinh phí thực tế được xác định theo nội dung, khối lượng công việc và kết quả đầu ra được phê duyệt.</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1290C" w:rsidP="002B284E">
            <w:pPr>
              <w:spacing w:after="0" w:line="240" w:lineRule="auto"/>
              <w:jc w:val="both"/>
              <w:rPr>
                <w:rFonts w:cs="Times New Roman"/>
                <w:b/>
                <w:sz w:val="26"/>
                <w:szCs w:val="26"/>
              </w:rPr>
            </w:pPr>
            <w:r w:rsidRPr="00813295">
              <w:rPr>
                <w:b/>
                <w:sz w:val="26"/>
              </w:rPr>
              <w:t>Khoản 1 và khoản 2 Điều 8. Mức hỗ trợ dự án giai đoạn tăng tốc</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Tổng mức hỗ trợ: 400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Tiền công lao động trực tiếp: 150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Chi phí chuyên gia, dịch vụ, cơ sở kỹ thuật: 250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Thời gian hỗ trợ: không quá 12 tháng.</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lastRenderedPageBreak/>
              <w:t>- Ưu tiên dự án có đối ứng từ nhà đầu tư khác.</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b/>
                <w:sz w:val="26"/>
              </w:rPr>
              <w:lastRenderedPageBreak/>
              <w:t>Khoản 4 Điều 7. Mức hỗ trợ dự án ở giai đoạn tăng tốc</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Tổng mức hỗ trợ: 500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Tiền công lao động trực tiếp: 185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Chi phí của tổ chức trung gian: 315 triệu đồng/dự án.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Thời gian hỗ trợ: không quá 12 tháng.</w:t>
            </w:r>
          </w:p>
          <w:p w:rsidR="009D255E" w:rsidRPr="00813295" w:rsidRDefault="00395F73" w:rsidP="002B284E">
            <w:pPr>
              <w:spacing w:after="0" w:line="240" w:lineRule="auto"/>
              <w:jc w:val="both"/>
              <w:rPr>
                <w:rFonts w:cs="Times New Roman"/>
                <w:sz w:val="26"/>
                <w:szCs w:val="26"/>
              </w:rPr>
            </w:pPr>
            <w:r w:rsidRPr="00813295">
              <w:rPr>
                <w:sz w:val="26"/>
              </w:rPr>
              <w:t>- Ưu tiên dự án có nguồn vốn đối ứng từ nhà đầu tư hoặc nguồn vốn hợp pháp khác.</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Tổng mức hỗ trợ tăng 100 triệu đồng/dự án, tương ứng 25%, phù hợp đặc thù giai đoạn tăng tốc có chi phí lớn cho mở rộng thị trường, phát triển quy mô, hoàn thiện năng lực quản trị, kết nối đầu tư, huy động vốn và thương mại hóa.</w:t>
            </w:r>
          </w:p>
          <w:p w:rsidR="009D255E" w:rsidRPr="00813295" w:rsidRDefault="00395F73" w:rsidP="002B284E">
            <w:pPr>
              <w:spacing w:after="0" w:line="240" w:lineRule="auto"/>
              <w:jc w:val="both"/>
              <w:rPr>
                <w:rFonts w:cs="Times New Roman"/>
                <w:sz w:val="26"/>
                <w:szCs w:val="26"/>
              </w:rPr>
            </w:pPr>
            <w:r w:rsidRPr="00813295">
              <w:rPr>
                <w:sz w:val="26"/>
              </w:rPr>
              <w:t xml:space="preserve">Mở rộng nguồn đối ứng từ “nhà đầu tư khác” thành nguồn vốn của nhà đầu tư </w:t>
            </w:r>
            <w:r w:rsidRPr="00813295">
              <w:rPr>
                <w:sz w:val="26"/>
              </w:rPr>
              <w:lastRenderedPageBreak/>
              <w:t>hoặc nguồn vốn hợp pháp khác, tạo điều kiện huy động đa dạng nguồn lực ngoài ngân sách và tăng tính cam kết của dự án. Đề nghị bổ sung trong Tờ trình số liệu thực tiễn, dự toán mẫu hoặc căn cứ tính toán để làm rõ cơ sở lựa chọn mức tăng 25% đối với cả ba giai đoạn.</w:t>
            </w:r>
          </w:p>
        </w:tc>
      </w:tr>
      <w:tr w:rsidR="00813295" w:rsidRPr="00813295" w:rsidTr="002B284E">
        <w:trPr>
          <w:jc w:val="center"/>
        </w:trPr>
        <w:tc>
          <w:tcPr>
            <w:tcW w:w="4649" w:type="dxa"/>
            <w:tcMar>
              <w:top w:w="80" w:type="dxa"/>
              <w:left w:w="90" w:type="dxa"/>
              <w:bottom w:w="80" w:type="dxa"/>
              <w:right w:w="90" w:type="dxa"/>
            </w:tcMar>
            <w:vAlign w:val="center"/>
          </w:tcPr>
          <w:p w:rsidR="00C40C8E" w:rsidRPr="00813295" w:rsidRDefault="00C40C8E" w:rsidP="00C40C8E">
            <w:pPr>
              <w:spacing w:after="0" w:line="240" w:lineRule="auto"/>
              <w:jc w:val="both"/>
              <w:rPr>
                <w:rFonts w:cs="Times New Roman"/>
                <w:b/>
                <w:sz w:val="26"/>
                <w:szCs w:val="26"/>
              </w:rPr>
            </w:pPr>
            <w:r w:rsidRPr="00813295">
              <w:rPr>
                <w:rFonts w:cs="Times New Roman"/>
                <w:b/>
                <w:sz w:val="26"/>
                <w:szCs w:val="26"/>
              </w:rPr>
              <w:lastRenderedPageBreak/>
              <w:t>Trình tự, thủ tục thực hiện hỗ trợ</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Không quy định hồ sơ, trình tự, thủ tục thực hiện hỗ trợ.</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8. Trình tự, thủ tục thực hiện hỗ trợ</w:t>
            </w:r>
          </w:p>
          <w:p w:rsidR="009D255E" w:rsidRPr="00813295" w:rsidRDefault="00395F73" w:rsidP="002B284E">
            <w:pPr>
              <w:spacing w:after="0" w:line="240" w:lineRule="auto"/>
              <w:jc w:val="both"/>
              <w:rPr>
                <w:rFonts w:cs="Times New Roman"/>
                <w:sz w:val="26"/>
                <w:szCs w:val="26"/>
              </w:rPr>
            </w:pPr>
            <w:r w:rsidRPr="00813295">
              <w:rPr>
                <w:sz w:val="26"/>
              </w:rPr>
              <w:t>1. Hồ sơ đăng ký thực hiện nhiệm vụ của tổ chức trung gian gồm Đơn đăng ký, Thuyết minh nhiệm vụ và Văn bản cam kết theo các Mẫu số 01, 02 và 04.</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2. Sau tuyển chọn, từng dự án được lập Phiếu thông tin theo Mẫu số 03 và tài liệu chứng minh tiêu chí, điều kiện; danh mục, hồ sơ dự án là thành phần bổ sung của hồ sơ nhiệm vụ và phụ lục hợp đồng.</w:t>
            </w:r>
          </w:p>
          <w:p w:rsidR="009D255E" w:rsidRPr="00813295" w:rsidRDefault="00395F73" w:rsidP="002B284E">
            <w:pPr>
              <w:spacing w:after="0" w:line="240" w:lineRule="auto"/>
              <w:jc w:val="both"/>
              <w:rPr>
                <w:rFonts w:cs="Times New Roman"/>
                <w:sz w:val="26"/>
                <w:szCs w:val="26"/>
              </w:rPr>
            </w:pPr>
            <w:r w:rsidRPr="00813295">
              <w:rPr>
                <w:sz w:val="26"/>
              </w:rPr>
              <w:t>3. Việc hỗ trợ được tổ chức dưới hình thức nhiệm vụ hỗ trợ khởi nghiệp sáng tạo; trình tự, thủ tục thực hiện theo Nghị định số 268/2025/NĐ-CP và quy định quản lý nhiệm vụ khoa học, công nghệ và đổi mới sáng tạo của Thành phố. Quyết định phê duyệt xác định tổ chức chủ trì, số lượng dự án tối đa theo từng giai đoạn, nội dung và mức hỗ trợ tối đa đối với từng dự án, tổng kinh phí và thời gian thực hiện nhiệm vụ.</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Bổ sung nội dung được Luật Phát triển đô thị giao về trình tự, thủ tục.</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Thiết kế hồ sơ theo hai cấp: hồ sơ nhiệm vụ do tổ chức trung gian đăng ký và hồ sơ từng dự án được tuyển chọn. Cách tiếp cận này phù hợp thực tế một nhiệm vụ có thể hỗ trợ nhiều dự án, bảo đảm cơ quan quản lý kiểm soát được từng đối tượng thụ hưởng nhưng không phải phê duyệt, ký hợp đồng riêng với từng dự án.</w:t>
            </w:r>
          </w:p>
          <w:p w:rsidR="009D255E" w:rsidRPr="00813295" w:rsidRDefault="00395F73" w:rsidP="002B284E">
            <w:pPr>
              <w:spacing w:after="0" w:line="240" w:lineRule="auto"/>
              <w:jc w:val="both"/>
              <w:rPr>
                <w:rFonts w:cs="Times New Roman"/>
                <w:sz w:val="26"/>
                <w:szCs w:val="26"/>
              </w:rPr>
            </w:pPr>
            <w:r w:rsidRPr="00813295">
              <w:rPr>
                <w:sz w:val="26"/>
              </w:rPr>
              <w:t>Kế thừa trình tự chung đã được Nghị định số 268/2025/NĐ-CP quy định, chỉ cụ thể hóa các nội dung đặc thù của cơ chế hỗ trợ một hoặc nhiều dự án trong một nhiệm vụ, qua đó tránh trùng lặp quy định.</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9. Nguồn kinh phí thực hiện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Kinh phí thực hiện từ nguồn chi thường xuyên của ngân sách Thành phố.</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9. Nguồn kinh phí thực hiện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xml:space="preserve">Kinh phí thực hiện hỗ trợ được bố trí từ nguồn chi thường xuyên của ngân sách Thành phố trong phạm vi dự toán hằng năm đã được cấp có thẩm quyền giao; bảo đảm phù </w:t>
            </w:r>
            <w:r w:rsidRPr="00813295">
              <w:rPr>
                <w:rFonts w:cs="Times New Roman"/>
                <w:sz w:val="26"/>
                <w:szCs w:val="26"/>
              </w:rPr>
              <w:lastRenderedPageBreak/>
              <w:t>hợp khả năng cân đối ngân sách và kế hoạch tài chính của Thành phố.</w:t>
            </w:r>
          </w:p>
        </w:tc>
        <w:tc>
          <w:tcPr>
            <w:tcW w:w="4535" w:type="dxa"/>
            <w:tcMar>
              <w:top w:w="80" w:type="dxa"/>
              <w:left w:w="90" w:type="dxa"/>
              <w:bottom w:w="80" w:type="dxa"/>
              <w:right w:w="90" w:type="dxa"/>
            </w:tcMar>
            <w:vAlign w:val="center"/>
          </w:tcPr>
          <w:p w:rsidR="009D255E" w:rsidRPr="00813295" w:rsidRDefault="00C40C8E" w:rsidP="002B284E">
            <w:pPr>
              <w:spacing w:after="0" w:line="240" w:lineRule="auto"/>
              <w:jc w:val="both"/>
              <w:rPr>
                <w:rFonts w:cs="Times New Roman"/>
                <w:sz w:val="26"/>
                <w:szCs w:val="26"/>
              </w:rPr>
            </w:pPr>
            <w:r w:rsidRPr="00813295">
              <w:rPr>
                <w:sz w:val="26"/>
              </w:rPr>
              <w:lastRenderedPageBreak/>
              <w:t xml:space="preserve">Luật Phát triển đô thị đã xác định kinh phí thực hiện chính sách được bố trí từ nguồn chi thường xuyên của ngân sách Thành phố. Dự thảo kế thừa quy định này, đồng </w:t>
            </w:r>
            <w:r w:rsidRPr="00813295">
              <w:rPr>
                <w:sz w:val="26"/>
              </w:rPr>
              <w:lastRenderedPageBreak/>
              <w:t>thời làm rõ việc bố trí và sử dụng kinh phí trong phạm vi dự toán ngân sách hằng năm được cấp có thẩm quyền giao, phù hợp khả năng cân đối ngân sách và kế hoạch tài chính của Thành phố. Quy định nhằm bảo đảm tính khả thi của chính sách, không bố trí, sử dụng kinh phí vượt dự toán được giao và tuân thủ kỷ luật tài chính - ngân sách.</w:t>
            </w:r>
          </w:p>
        </w:tc>
      </w:tr>
      <w:tr w:rsidR="00813295" w:rsidRPr="00813295" w:rsidTr="002B284E">
        <w:trPr>
          <w:jc w:val="center"/>
        </w:trPr>
        <w:tc>
          <w:tcPr>
            <w:tcW w:w="4649"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lastRenderedPageBreak/>
              <w:t>Điều 10. Tổ chức thực hiện</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1. Giao Ủy ban nhân dân Thành phố tổ chức thực hiện thống nhất, hiệu quả, công khai, minh bạch.</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2. Thường trực Hội đồng nhân dân Thành phố, các Ban, Tổ đại biểu và đại biểu Hội đồng nhân dân Thành phố giám sát.</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10. Tổ chức thực hiện</w:t>
            </w:r>
          </w:p>
          <w:p w:rsidR="009D255E" w:rsidRPr="00813295" w:rsidRDefault="00395F73" w:rsidP="002B284E">
            <w:pPr>
              <w:spacing w:after="0" w:line="240" w:lineRule="auto"/>
              <w:jc w:val="both"/>
              <w:rPr>
                <w:rFonts w:cs="Times New Roman"/>
                <w:sz w:val="26"/>
                <w:szCs w:val="26"/>
              </w:rPr>
            </w:pPr>
            <w:r w:rsidRPr="00813295">
              <w:rPr>
                <w:sz w:val="26"/>
              </w:rPr>
              <w:t>1. Giao Ủy ban nhân dân Thành phố tổ chức triển khai; chỉ đạo cơ quan quản lý nhiệm vụ đổi mới sáng tạo theo phân cấp thực hiện hỗ trợ; định kỳ báo cáo Hội đồng nhân dân Thành phố kết quả thực hiện để xem xét sửa đổi, bổ sung khi cần thiết.</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2. Quy định trách nhiệm giám sát của Thường trực Hội đồng nhân dân Thành phố, các Ban, Tổ đại biểu và đại biểu Hội đồng nhân dân Thành phố.</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Kế thừa trách nhiệm tổ chức thực hiện và giám sát; bổ sung trách nhiệm chỉ đạo cơ quan quản lý nhiệm vụ theo phân cấp và chế độ báo cáo định kỳ để theo dõi hiệu quả, kịp thời đề xuất sửa đổi, bổ sung chính sách.</w:t>
            </w:r>
          </w:p>
        </w:tc>
      </w:tr>
      <w:tr w:rsidR="00813295" w:rsidRPr="00813295" w:rsidTr="002B284E">
        <w:trPr>
          <w:jc w:val="center"/>
        </w:trPr>
        <w:tc>
          <w:tcPr>
            <w:tcW w:w="4649" w:type="dxa"/>
            <w:tcMar>
              <w:top w:w="80" w:type="dxa"/>
              <w:left w:w="90" w:type="dxa"/>
              <w:bottom w:w="80" w:type="dxa"/>
              <w:right w:w="90" w:type="dxa"/>
            </w:tcMar>
            <w:vAlign w:val="center"/>
          </w:tcPr>
          <w:p w:rsidR="00C40C8E" w:rsidRPr="00813295" w:rsidRDefault="00C40C8E" w:rsidP="00C40C8E">
            <w:pPr>
              <w:spacing w:after="0" w:line="240" w:lineRule="auto"/>
              <w:jc w:val="both"/>
              <w:rPr>
                <w:rFonts w:cs="Times New Roman"/>
                <w:b/>
                <w:sz w:val="26"/>
                <w:szCs w:val="26"/>
              </w:rPr>
            </w:pPr>
            <w:r w:rsidRPr="00813295">
              <w:rPr>
                <w:rFonts w:cs="Times New Roman"/>
                <w:b/>
                <w:sz w:val="26"/>
                <w:szCs w:val="26"/>
              </w:rPr>
              <w:t>Điều khoản chuyển tiếp</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Không quy định điều khoản chuyển tiếp.</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11. Điều khoản chuyển tiếp</w:t>
            </w:r>
          </w:p>
          <w:p w:rsidR="00B720AC" w:rsidRPr="00813295" w:rsidRDefault="00B720AC" w:rsidP="00B720AC">
            <w:pPr>
              <w:spacing w:after="0" w:line="240" w:lineRule="auto"/>
              <w:jc w:val="both"/>
              <w:rPr>
                <w:rFonts w:cs="Times New Roman"/>
                <w:sz w:val="26"/>
                <w:szCs w:val="26"/>
              </w:rPr>
            </w:pPr>
            <w:r w:rsidRPr="00813295">
              <w:rPr>
                <w:sz w:val="26"/>
              </w:rPr>
              <w:t>1. Đối với đề xuất liên quan đến hỗ trợ dự án đổi mới sáng tạo, khởi nghiệp sáng tạo đã nộp cho cơ quan nhà nước có thẩm quyền nhưng đến ngày 01 tháng 10 năm 2025 chưa được cơ quan nhà nước có thẩm quyền phê duyệt giao tổ chức chủ trì thực hiện nhiệm vụ thì tiếp tục thực hiện theo quy định tại khoản 1 Điều 73 Luật Khoa học, công nghệ và đổi mới sáng tạo số 93/2025/QH15 và khoản 1 Điều 56 Nghị định số 267/2025/NĐ-CP.</w:t>
            </w:r>
          </w:p>
          <w:p w:rsidR="009D255E" w:rsidRPr="00813295" w:rsidRDefault="00B720AC" w:rsidP="002B284E">
            <w:pPr>
              <w:spacing w:after="0" w:line="240" w:lineRule="auto"/>
              <w:jc w:val="both"/>
              <w:rPr>
                <w:rFonts w:cs="Times New Roman"/>
                <w:sz w:val="26"/>
                <w:szCs w:val="26"/>
              </w:rPr>
            </w:pPr>
            <w:r w:rsidRPr="00813295">
              <w:rPr>
                <w:sz w:val="26"/>
              </w:rPr>
              <w:lastRenderedPageBreak/>
              <w:t>2. Đối với đề xuất liên quan đến hỗ trợ dự án đổi mới sáng tạo, khởi nghiệp sáng tạo đã được cơ quan có thẩm quyền phê duyệt giao tổ chức chủ trì thực hiện nhiệm vụ trước ngày 01 tháng 10 năm 2025 thì tiếp tục thực hiện theo quy định tại khoản 3 Điều 73 Luật Khoa học, công nghệ và đổi mới sáng tạo số 93/2025/QH15 và khoản 2 Điều 56 Nghị định số 267/2025/NĐ-CP.</w:t>
            </w:r>
          </w:p>
        </w:tc>
        <w:tc>
          <w:tcPr>
            <w:tcW w:w="4535" w:type="dxa"/>
            <w:tcMar>
              <w:top w:w="80" w:type="dxa"/>
              <w:left w:w="90" w:type="dxa"/>
              <w:bottom w:w="80" w:type="dxa"/>
              <w:right w:w="90" w:type="dxa"/>
            </w:tcMar>
            <w:vAlign w:val="center"/>
          </w:tcPr>
          <w:p w:rsidR="00B720AC" w:rsidRPr="00813295" w:rsidRDefault="00B720AC" w:rsidP="00B720AC">
            <w:pPr>
              <w:spacing w:after="0" w:line="240" w:lineRule="auto"/>
              <w:jc w:val="both"/>
              <w:rPr>
                <w:rFonts w:cs="Times New Roman"/>
                <w:sz w:val="26"/>
                <w:szCs w:val="26"/>
              </w:rPr>
            </w:pPr>
            <w:r w:rsidRPr="00813295">
              <w:rPr>
                <w:rFonts w:cs="Times New Roman"/>
                <w:sz w:val="26"/>
                <w:szCs w:val="26"/>
              </w:rPr>
              <w:lastRenderedPageBreak/>
              <w:t xml:space="preserve">Bổ sung điều khoản chuyển tiếp đối với các hồ sơ, nhiệm vụ hỗ trợ dự án đổi mới sáng tạo, khởi nghiệp sáng tạo đã hình thành theo Nghị quyết số 20/2023/NQ-HĐND. Do các dự án này được triển khai dưới hình thức nhiệm vụ khoa học và công nghệ theo Luật Khoa học và công nghệ năm 2013, việc tiếp tục xem xét, xử lý và tổ chức thực hiện được áp dụng theo quy </w:t>
            </w:r>
            <w:r w:rsidRPr="00813295">
              <w:rPr>
                <w:rFonts w:cs="Times New Roman"/>
                <w:sz w:val="26"/>
                <w:szCs w:val="26"/>
              </w:rPr>
              <w:lastRenderedPageBreak/>
              <w:t>định chuyển tiếp của Luật Khoa học, công nghệ và đổi mới sáng tạo năm 2025 và Nghị định số 267/2025/NĐ-CP, bảo đảm tính liên tục, ổn định và quyền, nghĩa vụ của các tổ chức, cá nhân liên quan.</w:t>
            </w:r>
          </w:p>
          <w:p w:rsidR="00EE01D3" w:rsidRPr="00813295" w:rsidRDefault="00EE01D3" w:rsidP="00B720AC">
            <w:pPr>
              <w:spacing w:after="0" w:line="240" w:lineRule="auto"/>
              <w:jc w:val="both"/>
              <w:rPr>
                <w:rFonts w:cs="Times New Roman"/>
                <w:sz w:val="26"/>
                <w:szCs w:val="26"/>
              </w:rPr>
            </w:pPr>
          </w:p>
        </w:tc>
      </w:tr>
      <w:tr w:rsidR="00813295" w:rsidRPr="00813295" w:rsidTr="002B284E">
        <w:trPr>
          <w:jc w:val="center"/>
        </w:trPr>
        <w:tc>
          <w:tcPr>
            <w:tcW w:w="4649" w:type="dxa"/>
            <w:tcMar>
              <w:top w:w="80" w:type="dxa"/>
              <w:left w:w="90" w:type="dxa"/>
              <w:bottom w:w="80" w:type="dxa"/>
              <w:right w:w="90" w:type="dxa"/>
            </w:tcMar>
            <w:vAlign w:val="center"/>
          </w:tcPr>
          <w:p w:rsidR="00BA6715" w:rsidRPr="00813295" w:rsidRDefault="00BA6715" w:rsidP="002B284E">
            <w:pPr>
              <w:spacing w:after="0" w:line="240" w:lineRule="auto"/>
              <w:jc w:val="both"/>
              <w:rPr>
                <w:rFonts w:cs="Times New Roman"/>
                <w:sz w:val="26"/>
                <w:szCs w:val="26"/>
              </w:rPr>
            </w:pPr>
            <w:r w:rsidRPr="00813295">
              <w:rPr>
                <w:rFonts w:cs="Times New Roman"/>
                <w:b/>
                <w:sz w:val="26"/>
                <w:szCs w:val="26"/>
              </w:rPr>
              <w:lastRenderedPageBreak/>
              <w:t>Hiệu lực thi hành</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Nghị quyết số 20/2023/NQ-HĐND có hiệu lực từ ngày 21 tháng 11 năm 2023; không quy định việc thay thế hoặc bãi bỏ văn bản khác.</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Điều 12. Hiệu lực thi hành</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Quy định thời điểm có hiệu lực.</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 Áp dụng văn bản sửa đổi, bổ sung, thay thế đối với các văn bản được dẫn chiếu.</w:t>
            </w:r>
          </w:p>
          <w:p w:rsidR="009D255E" w:rsidRPr="00813295" w:rsidRDefault="00395F73" w:rsidP="002B284E">
            <w:pPr>
              <w:spacing w:after="0" w:line="240" w:lineRule="auto"/>
              <w:jc w:val="both"/>
              <w:rPr>
                <w:rFonts w:cs="Times New Roman"/>
                <w:sz w:val="26"/>
                <w:szCs w:val="26"/>
              </w:rPr>
            </w:pPr>
            <w:r w:rsidRPr="00813295">
              <w:rPr>
                <w:sz w:val="26"/>
              </w:rPr>
              <w:t>- Nghị quyết số 20/2023/NQ-HĐND và Nghị quyết số 412/NQ-HĐND ngày 29 tháng 9 năm 2025 hết hiệu lực thi hành kể từ ngày Nghị quyết mới có hiệu lực, trừ trường hợp chuyển tiếp.</w:t>
            </w:r>
          </w:p>
        </w:tc>
        <w:tc>
          <w:tcPr>
            <w:tcW w:w="4535"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Xác định rõ hiệu lực và xử lý văn bản hiện hành để tránh tồn tại đồng thời hai cơ chế có phạm vi giao thoa.</w:t>
            </w:r>
          </w:p>
        </w:tc>
      </w:tr>
      <w:tr w:rsidR="00E84183" w:rsidRPr="00813295" w:rsidTr="002B284E">
        <w:trPr>
          <w:jc w:val="center"/>
        </w:trPr>
        <w:tc>
          <w:tcPr>
            <w:tcW w:w="4649" w:type="dxa"/>
            <w:tcMar>
              <w:top w:w="80" w:type="dxa"/>
              <w:left w:w="90" w:type="dxa"/>
              <w:bottom w:w="80" w:type="dxa"/>
              <w:right w:w="90" w:type="dxa"/>
            </w:tcMar>
            <w:vAlign w:val="center"/>
          </w:tcPr>
          <w:p w:rsidR="00BA6715" w:rsidRPr="00813295" w:rsidRDefault="00BA6715" w:rsidP="002B284E">
            <w:pPr>
              <w:spacing w:after="0" w:line="240" w:lineRule="auto"/>
              <w:jc w:val="both"/>
              <w:rPr>
                <w:rFonts w:cs="Times New Roman"/>
                <w:b/>
                <w:sz w:val="26"/>
                <w:szCs w:val="26"/>
              </w:rPr>
            </w:pPr>
            <w:r w:rsidRPr="00813295">
              <w:rPr>
                <w:rFonts w:cs="Times New Roman"/>
                <w:b/>
                <w:sz w:val="26"/>
                <w:szCs w:val="26"/>
              </w:rPr>
              <w:t>Biểu mẫu</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Không ban hành biểu mẫu kèm theo Nghị quyết.</w:t>
            </w:r>
          </w:p>
        </w:tc>
        <w:tc>
          <w:tcPr>
            <w:tcW w:w="6066" w:type="dxa"/>
            <w:tcMar>
              <w:top w:w="80" w:type="dxa"/>
              <w:left w:w="90" w:type="dxa"/>
              <w:bottom w:w="80" w:type="dxa"/>
              <w:right w:w="90" w:type="dxa"/>
            </w:tcMar>
            <w:vAlign w:val="center"/>
          </w:tcPr>
          <w:p w:rsidR="009D255E" w:rsidRPr="00813295" w:rsidRDefault="00395F73" w:rsidP="002B284E">
            <w:pPr>
              <w:spacing w:after="0" w:line="240" w:lineRule="auto"/>
              <w:jc w:val="both"/>
              <w:rPr>
                <w:rFonts w:cs="Times New Roman"/>
                <w:b/>
                <w:sz w:val="26"/>
                <w:szCs w:val="26"/>
              </w:rPr>
            </w:pPr>
            <w:r w:rsidRPr="00813295">
              <w:rPr>
                <w:rFonts w:cs="Times New Roman"/>
                <w:b/>
                <w:sz w:val="26"/>
                <w:szCs w:val="26"/>
              </w:rPr>
              <w:t>Phụ lục kèm theo Nghị quyết gồm 04 biểu mẫu:</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1. Mẫu số 01 - Đơn đăng ký thực hiện nhiệm vụ hỗ trợ khởi nghiệp sáng tạo.</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2. Mẫu số 02 - Thuyết minh nhiệm vụ hỗ trợ khởi nghiệp sáng tạo.</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3. Mẫu số 03 - Phiếu thông tin dự án khởi nghiệp sáng tạo được tuyển chọn và đề nghị hỗ trợ.</w:t>
            </w:r>
          </w:p>
          <w:p w:rsidR="009D255E" w:rsidRPr="00813295" w:rsidRDefault="00395F73" w:rsidP="002B284E">
            <w:pPr>
              <w:spacing w:after="0" w:line="240" w:lineRule="auto"/>
              <w:jc w:val="both"/>
              <w:rPr>
                <w:rFonts w:cs="Times New Roman"/>
                <w:sz w:val="26"/>
                <w:szCs w:val="26"/>
              </w:rPr>
            </w:pPr>
            <w:r w:rsidRPr="00813295">
              <w:rPr>
                <w:rFonts w:cs="Times New Roman"/>
                <w:sz w:val="26"/>
                <w:szCs w:val="26"/>
              </w:rPr>
              <w:t>4. Mẫu số 04 - Văn bản cam kết của tổ chức trung gian.</w:t>
            </w:r>
          </w:p>
        </w:tc>
        <w:tc>
          <w:tcPr>
            <w:tcW w:w="4535" w:type="dxa"/>
            <w:tcMar>
              <w:top w:w="80" w:type="dxa"/>
              <w:left w:w="90" w:type="dxa"/>
              <w:bottom w:w="80" w:type="dxa"/>
              <w:right w:w="90" w:type="dxa"/>
            </w:tcMar>
            <w:vAlign w:val="center"/>
          </w:tcPr>
          <w:p w:rsidR="0082234A" w:rsidRPr="00813295" w:rsidRDefault="0082234A" w:rsidP="0082234A">
            <w:pPr>
              <w:spacing w:after="0" w:line="240" w:lineRule="auto"/>
              <w:jc w:val="both"/>
              <w:rPr>
                <w:rFonts w:cs="Times New Roman"/>
                <w:sz w:val="26"/>
                <w:szCs w:val="26"/>
              </w:rPr>
            </w:pPr>
            <w:r w:rsidRPr="00813295">
              <w:rPr>
                <w:sz w:val="26"/>
              </w:rPr>
              <w:t>Ban hành 04 biểu mẫu để chuẩn hóa hồ sơ và thông tin về tổ chức trung gian, từng dự án, nội dung, mức hỗ trợ, dự toán, kết quả đầu ra và cam kết không hỗ trợ trùng lặp. Các mẫu kế thừa Mẫu số I.1, I.5 và I.6 kèm theo Nghị định số 268/2025/NĐ-CP, đồng thời cụ thể hóa cơ chế một nhiệm vụ hỗ trợ một hoặc nhiều dự án; do mẫu của Nghị định chưa thể hiện thông tin từng dự án nên cần bổ sung biểu mẫu chuyên biệt.</w:t>
            </w:r>
          </w:p>
        </w:tc>
      </w:tr>
      <w:bookmarkEnd w:id="0"/>
    </w:tbl>
    <w:p w:rsidR="00AB123F" w:rsidRPr="00813295" w:rsidRDefault="00AB123F"/>
    <w:sectPr w:rsidR="00AB123F" w:rsidRPr="00813295" w:rsidSect="00F73663">
      <w:headerReference w:type="default" r:id="rId8"/>
      <w:pgSz w:w="16838" w:h="11906"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186" w:rsidRDefault="003C7186" w:rsidP="00F73663">
      <w:pPr>
        <w:spacing w:after="0" w:line="240" w:lineRule="auto"/>
      </w:pPr>
      <w:r>
        <w:separator/>
      </w:r>
    </w:p>
  </w:endnote>
  <w:endnote w:type="continuationSeparator" w:id="0">
    <w:p w:rsidR="003C7186" w:rsidRDefault="003C7186" w:rsidP="00F73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186" w:rsidRDefault="003C7186" w:rsidP="00F73663">
      <w:pPr>
        <w:spacing w:after="0" w:line="240" w:lineRule="auto"/>
      </w:pPr>
      <w:r>
        <w:separator/>
      </w:r>
    </w:p>
  </w:footnote>
  <w:footnote w:type="continuationSeparator" w:id="0">
    <w:p w:rsidR="003C7186" w:rsidRDefault="003C7186" w:rsidP="00F73663">
      <w:pPr>
        <w:spacing w:after="0" w:line="240" w:lineRule="auto"/>
      </w:pPr>
      <w:r>
        <w:continuationSeparator/>
      </w:r>
    </w:p>
  </w:footnote>
  <w:footnote w:id="1">
    <w:p w:rsidR="00241A7C" w:rsidRPr="00E84183" w:rsidRDefault="00241A7C" w:rsidP="00241A7C">
      <w:pPr>
        <w:pStyle w:val="FootnoteText"/>
        <w:jc w:val="both"/>
      </w:pPr>
      <w:r w:rsidRPr="00E84183">
        <w:rPr>
          <w:rStyle w:val="FootnoteReference"/>
        </w:rPr>
        <w:footnoteRef/>
      </w:r>
      <w:r w:rsidRPr="00E84183">
        <w:t xml:space="preserve"> </w:t>
      </w:r>
      <w:r w:rsidRPr="00E84183">
        <w:rPr>
          <w:shd w:val="clear" w:color="auto" w:fill="FFFFFF"/>
        </w:rPr>
        <w:t>Nghị quyết số 20/2023/NQ-HĐND ngày 11 tháng 11 năm 2023 của Hội đồng nhân dân Thành phố quy định lĩnh vực ưu tiên, tiêu chí, điều kiện, nội dung và mức hỗ trợ dự án đổi mới sáng tạo, khởi nghiệp sáng tạo trên địa bàn Thành phố Hồ Chí Minh; Nghị quyết số 412/NQ-HĐND ngày 29 tháng 9 năm 2025 về việc áp dụng “Nghị quyết số 20/2023/NQ-HĐND ngày 11 tháng 11 năm 2023 của Hội đồng nhân dân Thành phố Hồ Chí Minh quy định lĩnh vực ưu tiên, tiêu chí, điều kiện, nội dung và mức hỗ trợ dự án đổi mới sáng tạo, khởi nghiệp sáng tạo trên địa bàn Thành phố Hồ Chí Minh” trên địa bàn Thành phố Hồ Chí Minh (sau sắp xếp)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0993288"/>
      <w:docPartObj>
        <w:docPartGallery w:val="Page Numbers (Top of Page)"/>
        <w:docPartUnique/>
      </w:docPartObj>
    </w:sdtPr>
    <w:sdtEndPr>
      <w:rPr>
        <w:noProof/>
      </w:rPr>
    </w:sdtEndPr>
    <w:sdtContent>
      <w:p w:rsidR="00F73663" w:rsidRDefault="00F73663">
        <w:pPr>
          <w:pStyle w:val="Header"/>
          <w:jc w:val="center"/>
        </w:pPr>
        <w:r>
          <w:fldChar w:fldCharType="begin"/>
        </w:r>
        <w:r>
          <w:instrText xml:space="preserve"> PAGE   \* MERGEFORMAT </w:instrText>
        </w:r>
        <w:r>
          <w:fldChar w:fldCharType="separate"/>
        </w:r>
        <w:r w:rsidR="00813295">
          <w:rPr>
            <w:noProof/>
          </w:rPr>
          <w:t>2</w:t>
        </w:r>
        <w:r>
          <w:rPr>
            <w:noProof/>
          </w:rPr>
          <w:fldChar w:fldCharType="end"/>
        </w:r>
      </w:p>
    </w:sdtContent>
  </w:sdt>
  <w:p w:rsidR="00F73663" w:rsidRDefault="00F736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71355"/>
    <w:rsid w:val="0015074B"/>
    <w:rsid w:val="00155120"/>
    <w:rsid w:val="00241A7C"/>
    <w:rsid w:val="0029639D"/>
    <w:rsid w:val="002B284E"/>
    <w:rsid w:val="0031290C"/>
    <w:rsid w:val="00321924"/>
    <w:rsid w:val="00326F90"/>
    <w:rsid w:val="00395F73"/>
    <w:rsid w:val="003C7186"/>
    <w:rsid w:val="00445B3D"/>
    <w:rsid w:val="00504BD9"/>
    <w:rsid w:val="00561910"/>
    <w:rsid w:val="005A77F4"/>
    <w:rsid w:val="005C1735"/>
    <w:rsid w:val="00607D68"/>
    <w:rsid w:val="00653CEE"/>
    <w:rsid w:val="00813295"/>
    <w:rsid w:val="0082234A"/>
    <w:rsid w:val="009D255E"/>
    <w:rsid w:val="00A27B8B"/>
    <w:rsid w:val="00A7467B"/>
    <w:rsid w:val="00AA1D8D"/>
    <w:rsid w:val="00AB123F"/>
    <w:rsid w:val="00B127A1"/>
    <w:rsid w:val="00B47730"/>
    <w:rsid w:val="00B54697"/>
    <w:rsid w:val="00B720AC"/>
    <w:rsid w:val="00BA6715"/>
    <w:rsid w:val="00C40C8E"/>
    <w:rsid w:val="00C54DC6"/>
    <w:rsid w:val="00CB0664"/>
    <w:rsid w:val="00E57C62"/>
    <w:rsid w:val="00E84183"/>
    <w:rsid w:val="00EE01D3"/>
    <w:rsid w:val="00F2411A"/>
    <w:rsid w:val="00F73663"/>
    <w:rsid w:val="00FC0B10"/>
    <w:rsid w:val="00FC693F"/>
    <w:rsid w:val="00FD7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5F469AD5-08C8-444D-8719-A4EC43756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uiPriority w:val="99"/>
    <w:semiHidden/>
    <w:unhideWhenUsed/>
    <w:rsid w:val="00241A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1A7C"/>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241A7C"/>
    <w:rPr>
      <w:vertAlign w:val="superscript"/>
    </w:rPr>
  </w:style>
  <w:style w:type="paragraph" w:customStyle="1" w:styleId="pdq2pgselectionanchorcontainer">
    <w:name w:val="pdq2pg_selectionanchorcontainer"/>
    <w:basedOn w:val="Normal"/>
    <w:rsid w:val="005A77F4"/>
    <w:pPr>
      <w:spacing w:before="100" w:beforeAutospacing="1" w:after="100" w:afterAutospacing="1" w:line="240" w:lineRule="auto"/>
    </w:pPr>
    <w:rPr>
      <w:rFonts w:cs="Times New Roman"/>
      <w:szCs w:val="24"/>
    </w:rPr>
  </w:style>
  <w:style w:type="paragraph" w:styleId="NormalWeb">
    <w:name w:val="Normal (Web)"/>
    <w:basedOn w:val="Normal"/>
    <w:uiPriority w:val="99"/>
    <w:semiHidden/>
    <w:unhideWhenUsed/>
    <w:rsid w:val="005A77F4"/>
    <w:pPr>
      <w:spacing w:before="100" w:beforeAutospacing="1" w:after="100" w:afterAutospacing="1" w:line="240" w:lineRule="auto"/>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0351">
      <w:bodyDiv w:val="1"/>
      <w:marLeft w:val="0"/>
      <w:marRight w:val="0"/>
      <w:marTop w:val="0"/>
      <w:marBottom w:val="0"/>
      <w:divBdr>
        <w:top w:val="none" w:sz="0" w:space="0" w:color="auto"/>
        <w:left w:val="none" w:sz="0" w:space="0" w:color="auto"/>
        <w:bottom w:val="none" w:sz="0" w:space="0" w:color="auto"/>
        <w:right w:val="none" w:sz="0" w:space="0" w:color="auto"/>
      </w:divBdr>
    </w:div>
    <w:div w:id="47729303">
      <w:bodyDiv w:val="1"/>
      <w:marLeft w:val="0"/>
      <w:marRight w:val="0"/>
      <w:marTop w:val="0"/>
      <w:marBottom w:val="0"/>
      <w:divBdr>
        <w:top w:val="none" w:sz="0" w:space="0" w:color="auto"/>
        <w:left w:val="none" w:sz="0" w:space="0" w:color="auto"/>
        <w:bottom w:val="none" w:sz="0" w:space="0" w:color="auto"/>
        <w:right w:val="none" w:sz="0" w:space="0" w:color="auto"/>
      </w:divBdr>
    </w:div>
    <w:div w:id="1025522864">
      <w:bodyDiv w:val="1"/>
      <w:marLeft w:val="0"/>
      <w:marRight w:val="0"/>
      <w:marTop w:val="0"/>
      <w:marBottom w:val="0"/>
      <w:divBdr>
        <w:top w:val="none" w:sz="0" w:space="0" w:color="auto"/>
        <w:left w:val="none" w:sz="0" w:space="0" w:color="auto"/>
        <w:bottom w:val="none" w:sz="0" w:space="0" w:color="auto"/>
        <w:right w:val="none" w:sz="0" w:space="0" w:color="auto"/>
      </w:divBdr>
    </w:div>
    <w:div w:id="1551265221">
      <w:bodyDiv w:val="1"/>
      <w:marLeft w:val="0"/>
      <w:marRight w:val="0"/>
      <w:marTop w:val="0"/>
      <w:marBottom w:val="0"/>
      <w:divBdr>
        <w:top w:val="none" w:sz="0" w:space="0" w:color="auto"/>
        <w:left w:val="none" w:sz="0" w:space="0" w:color="auto"/>
        <w:bottom w:val="none" w:sz="0" w:space="0" w:color="auto"/>
        <w:right w:val="none" w:sz="0" w:space="0" w:color="auto"/>
      </w:divBdr>
      <w:divsChild>
        <w:div w:id="1154762339">
          <w:marLeft w:val="0"/>
          <w:marRight w:val="0"/>
          <w:marTop w:val="0"/>
          <w:marBottom w:val="0"/>
          <w:divBdr>
            <w:top w:val="none" w:sz="0" w:space="0" w:color="auto"/>
            <w:left w:val="none" w:sz="0" w:space="0" w:color="auto"/>
            <w:bottom w:val="none" w:sz="0" w:space="0" w:color="auto"/>
            <w:right w:val="none" w:sz="0" w:space="0" w:color="auto"/>
          </w:divBdr>
          <w:divsChild>
            <w:div w:id="94597039">
              <w:marLeft w:val="0"/>
              <w:marRight w:val="0"/>
              <w:marTop w:val="0"/>
              <w:marBottom w:val="0"/>
              <w:divBdr>
                <w:top w:val="none" w:sz="0" w:space="0" w:color="auto"/>
                <w:left w:val="none" w:sz="0" w:space="0" w:color="auto"/>
                <w:bottom w:val="none" w:sz="0" w:space="0" w:color="auto"/>
                <w:right w:val="none" w:sz="0" w:space="0" w:color="auto"/>
              </w:divBdr>
              <w:divsChild>
                <w:div w:id="545877320">
                  <w:marLeft w:val="0"/>
                  <w:marRight w:val="0"/>
                  <w:marTop w:val="0"/>
                  <w:marBottom w:val="0"/>
                  <w:divBdr>
                    <w:top w:val="none" w:sz="0" w:space="0" w:color="auto"/>
                    <w:left w:val="none" w:sz="0" w:space="0" w:color="auto"/>
                    <w:bottom w:val="none" w:sz="0" w:space="0" w:color="auto"/>
                    <w:right w:val="none" w:sz="0" w:space="0" w:color="auto"/>
                  </w:divBdr>
                  <w:divsChild>
                    <w:div w:id="409929165">
                      <w:marLeft w:val="0"/>
                      <w:marRight w:val="0"/>
                      <w:marTop w:val="0"/>
                      <w:marBottom w:val="0"/>
                      <w:divBdr>
                        <w:top w:val="none" w:sz="0" w:space="0" w:color="auto"/>
                        <w:left w:val="none" w:sz="0" w:space="0" w:color="auto"/>
                        <w:bottom w:val="none" w:sz="0" w:space="0" w:color="auto"/>
                        <w:right w:val="none" w:sz="0" w:space="0" w:color="auto"/>
                      </w:divBdr>
                      <w:divsChild>
                        <w:div w:id="1118840081">
                          <w:marLeft w:val="0"/>
                          <w:marRight w:val="0"/>
                          <w:marTop w:val="0"/>
                          <w:marBottom w:val="0"/>
                          <w:divBdr>
                            <w:top w:val="none" w:sz="0" w:space="0" w:color="auto"/>
                            <w:left w:val="none" w:sz="0" w:space="0" w:color="auto"/>
                            <w:bottom w:val="none" w:sz="0" w:space="0" w:color="auto"/>
                            <w:right w:val="none" w:sz="0" w:space="0" w:color="auto"/>
                          </w:divBdr>
                          <w:divsChild>
                            <w:div w:id="210383871">
                              <w:marLeft w:val="0"/>
                              <w:marRight w:val="0"/>
                              <w:marTop w:val="0"/>
                              <w:marBottom w:val="0"/>
                              <w:divBdr>
                                <w:top w:val="none" w:sz="0" w:space="0" w:color="auto"/>
                                <w:left w:val="none" w:sz="0" w:space="0" w:color="auto"/>
                                <w:bottom w:val="none" w:sz="0" w:space="0" w:color="auto"/>
                                <w:right w:val="none" w:sz="0" w:space="0" w:color="auto"/>
                              </w:divBdr>
                              <w:divsChild>
                                <w:div w:id="2042390052">
                                  <w:marLeft w:val="0"/>
                                  <w:marRight w:val="0"/>
                                  <w:marTop w:val="0"/>
                                  <w:marBottom w:val="0"/>
                                  <w:divBdr>
                                    <w:top w:val="none" w:sz="0" w:space="0" w:color="auto"/>
                                    <w:left w:val="none" w:sz="0" w:space="0" w:color="auto"/>
                                    <w:bottom w:val="none" w:sz="0" w:space="0" w:color="auto"/>
                                    <w:right w:val="none" w:sz="0" w:space="0" w:color="auto"/>
                                  </w:divBdr>
                                  <w:divsChild>
                                    <w:div w:id="161050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4EF71-8CA3-44B0-B832-8775583D0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2865</Words>
  <Characters>16336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LIEN</cp:lastModifiedBy>
  <cp:revision>5</cp:revision>
  <dcterms:created xsi:type="dcterms:W3CDTF">2026-07-17T04:19:00Z</dcterms:created>
  <dcterms:modified xsi:type="dcterms:W3CDTF">2026-07-17T04:27:00Z</dcterms:modified>
  <cp:category/>
</cp:coreProperties>
</file>